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jc w:val="center"/>
      </w:pPr>
      <w:r>
        <w:rPr>
          <w:rFonts w:ascii="Arial" w:cs="Arial" w:eastAsia="Arial" w:hAnsi="Arial"/>
          <w:b/>
          <w:bCs/>
          <w:i w:val="false"/>
          <w:iCs w:val="false"/>
          <w:sz w:val="24"/>
          <w:szCs w:val="24"/>
        </w:rPr>
        <w:t xml:space="preserve">SECTION 34 75 13.13</w:t>
      </w:r>
    </w:p>
    <w:p>
      <w:pPr>
        <w:spacing w:after="60"/>
        <w:jc w:val="center"/>
      </w:pPr>
      <w:r>
        <w:rPr>
          <w:rFonts w:ascii="Arial" w:cs="Arial" w:eastAsia="Arial" w:hAnsi="Arial"/>
          <w:b/>
          <w:bCs/>
          <w:i w:val="false"/>
          <w:iCs w:val="false"/>
          <w:sz w:val="24"/>
          <w:szCs w:val="24"/>
        </w:rPr>
        <w:t xml:space="preserve">CRASH RATED SHALLOW WEDGE BARRIERS</w:t>
      </w:r>
    </w:p>
    <w:p>
      <w:pPr>
        <w:spacing w:after="240"/>
        <w:jc w:val="center"/>
      </w:pPr>
      <w:r>
        <w:rPr>
          <w:rFonts w:ascii="Arial" w:cs="Arial" w:eastAsia="Arial" w:hAnsi="Arial"/>
          <w:b w:val="false"/>
          <w:bCs w:val="false"/>
          <w:i w:val="false"/>
          <w:iCs w:val="false"/>
          <w:sz w:val="18"/>
          <w:szCs w:val="18"/>
        </w:rPr>
        <w:t xml:space="preserve">Rev 2 · October 2026</w:t>
      </w:r>
    </w:p>
    <w:p>
      <w:pPr>
        <w:pStyle w:val="SpecifierNote"/>
        <w:pBdr>
          <w:top w:val="single" w:color="1F5C99" w:sz="4" w:space="4"/>
          <w:bottom w:val="single" w:color="1F5C99" w:sz="4" w:space="4"/>
          <w:left w:val="single" w:color="1F5C99" w:sz="4" w:space="4"/>
          <w:right w:val="single" w:color="1F5C99" w:sz="4" w:space="4"/>
        </w:pBdr>
        <w:shd w:fill="EEF3FA" w:val="clear"/>
        <w:spacing w:after="140" w:before="140"/>
        <w:ind w:left="360" w:right="360"/>
      </w:pPr>
      <w:r>
        <w:rPr>
          <w:rFonts w:ascii="Arial" w:cs="Arial" w:eastAsia="Arial" w:hAnsi="Arial"/>
          <w:b/>
          <w:bCs/>
          <w:i/>
          <w:iCs/>
          <w:color w:val="1F5C99"/>
          <w:sz w:val="18"/>
          <w:szCs w:val="18"/>
        </w:rPr>
        <w:t xml:space="preserve">SPECIFIER NOTE: </w:t>
      </w:r>
      <w:r>
        <w:rPr>
          <w:rFonts w:ascii="Arial" w:cs="Arial" w:eastAsia="Arial" w:hAnsi="Arial"/>
          <w:b w:val="false"/>
          <w:bCs w:val="false"/>
          <w:i/>
          <w:iCs/>
          <w:color w:val="1F5C99"/>
          <w:sz w:val="18"/>
          <w:szCs w:val="18"/>
        </w:rPr>
        <w:t xml:space="preserve">This Section is a manufacturer guide specification. Text in [brackets] offers a choice; delete the options not used. [Insert] requires a project value. Paragraphs marked Specifier Note are guidance addressed to the specifier and are deleted before issue. Foundation, slab and site requirements are delegated design and must be engineered per project and sealed by a professional engineer licensed in the jurisdiction of the Project; this Section is not a sealed engineering document. Delete this note before issue.</w:t>
      </w:r>
    </w:p>
    <w:p>
      <w:pPr>
        <w:pStyle w:val="SpecifierNote"/>
        <w:pBdr>
          <w:top w:val="single" w:color="1F5C99" w:sz="4" w:space="4"/>
          <w:bottom w:val="single" w:color="1F5C99" w:sz="4" w:space="4"/>
          <w:left w:val="single" w:color="1F5C99" w:sz="4" w:space="4"/>
          <w:right w:val="single" w:color="1F5C99" w:sz="4" w:space="4"/>
        </w:pBdr>
        <w:shd w:fill="EEF3FA" w:val="clear"/>
        <w:spacing w:after="140" w:before="140"/>
        <w:ind w:left="360" w:right="360"/>
      </w:pPr>
      <w:r>
        <w:rPr>
          <w:rFonts w:ascii="Arial" w:cs="Arial" w:eastAsia="Arial" w:hAnsi="Arial"/>
          <w:b/>
          <w:bCs/>
          <w:i/>
          <w:iCs/>
          <w:color w:val="1F5C99"/>
          <w:sz w:val="18"/>
          <w:szCs w:val="18"/>
        </w:rPr>
        <w:t xml:space="preserve">SPECIFIER NOTE: </w:t>
      </w:r>
      <w:r>
        <w:rPr>
          <w:rFonts w:ascii="Arial" w:cs="Arial" w:eastAsia="Arial" w:hAnsi="Arial"/>
          <w:b w:val="false"/>
          <w:bCs w:val="false"/>
          <w:i/>
          <w:iCs/>
          <w:color w:val="1F5C99"/>
          <w:sz w:val="18"/>
          <w:szCs w:val="18"/>
        </w:rPr>
        <w:t xml:space="preserve">Three BSP sections share Section 34 75 13.13 and are told apart by title: Crash Rated Drop Arm Barriers, Crash Rated Shallow Wedge Barriers and Crash Rated Slide Gates. Where a project uses more than one, list each by number and title in the project manual, or combine them into one Section with a Part 2 article for each product. Delete this note before issue.</w:t>
      </w:r>
    </w:p>
    <w:p>
      <w:pPr>
        <w:keepNext/>
        <w:spacing w:after="200" w:before="400"/>
      </w:pPr>
      <w:r>
        <w:rPr>
          <w:rFonts w:ascii="Arial" w:cs="Arial" w:eastAsia="Arial" w:hAnsi="Arial"/>
          <w:b/>
          <w:bCs/>
          <w:i w:val="false"/>
          <w:iCs w:val="false"/>
          <w:sz w:val="20"/>
          <w:szCs w:val="20"/>
        </w:rPr>
        <w:t xml:space="preserve">PART 1 – GENERAL</w:t>
      </w:r>
    </w:p>
    <w:p>
      <w:pPr>
        <w:keepNext/>
        <w:tabs>
          <w:tab w:val="left" w:pos="720"/>
        </w:tabs>
        <w:spacing w:after="120" w:before="240"/>
      </w:pPr>
      <w:r>
        <w:rPr>
          <w:rFonts w:ascii="Arial" w:cs="Arial" w:eastAsia="Arial" w:hAnsi="Arial"/>
          <w:b/>
          <w:bCs/>
          <w:i w:val="false"/>
          <w:iCs w:val="false"/>
          <w:sz w:val="20"/>
          <w:szCs w:val="20"/>
        </w:rPr>
        <w:t xml:space="preserve">1.01	RELATED DOCUMENTS</w:t>
      </w:r>
    </w:p>
    <w:p>
      <w:pPr>
        <w:tabs>
          <w:tab w:val="left" w:pos="720"/>
        </w:tabs>
        <w:spacing w:after="100"/>
        <w:ind w:left="720" w:hanging="360"/>
      </w:pPr>
      <w:r>
        <w:rPr>
          <w:rFonts w:ascii="Arial" w:cs="Arial" w:eastAsia="Arial" w:hAnsi="Arial"/>
          <w:b w:val="false"/>
          <w:bCs w:val="false"/>
          <w:i w:val="false"/>
          <w:iCs w:val="false"/>
          <w:sz w:val="20"/>
          <w:szCs w:val="20"/>
        </w:rPr>
        <w:t xml:space="preserve">A.	Drawings and general provisions of the Contract, including General and Supplementary Conditions and Division 01 Specification Sections, apply to this Section.</w:t>
      </w:r>
    </w:p>
    <w:p>
      <w:pPr>
        <w:keepNext/>
        <w:tabs>
          <w:tab w:val="left" w:pos="720"/>
        </w:tabs>
        <w:spacing w:after="120" w:before="240"/>
      </w:pPr>
      <w:r>
        <w:rPr>
          <w:rFonts w:ascii="Arial" w:cs="Arial" w:eastAsia="Arial" w:hAnsi="Arial"/>
          <w:b/>
          <w:bCs/>
          <w:i w:val="false"/>
          <w:iCs w:val="false"/>
          <w:sz w:val="20"/>
          <w:szCs w:val="20"/>
        </w:rPr>
        <w:t xml:space="preserve">1.02	SUMMARY</w:t>
      </w:r>
    </w:p>
    <w:p>
      <w:pPr>
        <w:tabs>
          <w:tab w:val="left" w:pos="720"/>
        </w:tabs>
        <w:spacing w:after="100"/>
        <w:ind w:left="720" w:hanging="360"/>
      </w:pPr>
      <w:r>
        <w:rPr>
          <w:rFonts w:ascii="Arial" w:cs="Arial" w:eastAsia="Arial" w:hAnsi="Arial"/>
          <w:b w:val="false"/>
          <w:bCs w:val="false"/>
          <w:i w:val="false"/>
          <w:iCs w:val="false"/>
          <w:sz w:val="20"/>
          <w:szCs w:val="20"/>
        </w:rPr>
        <w:t xml:space="preserve">A.	Section Includes: Active crash rated shallow wedge vehicle barrier, comprising the wedge assembly, drive, control panel and enclosure, safety devices, signage, scheduled options, and the reinforced concrete slab foundation.</w:t>
      </w:r>
    </w:p>
    <w:p>
      <w:pPr>
        <w:tabs>
          <w:tab w:val="left" w:pos="720"/>
        </w:tabs>
        <w:spacing w:after="100"/>
        <w:ind w:left="720" w:hanging="360"/>
      </w:pPr>
      <w:r>
        <w:rPr>
          <w:rFonts w:ascii="Arial" w:cs="Arial" w:eastAsia="Arial" w:hAnsi="Arial"/>
          <w:b w:val="false"/>
          <w:bCs w:val="false"/>
          <w:i w:val="false"/>
          <w:iCs w:val="false"/>
          <w:sz w:val="20"/>
          <w:szCs w:val="20"/>
        </w:rPr>
        <w:t xml:space="preserve">B.	The barrier and its drive are carried within a shallow reinforced concrete slab. A pit, chamber or serviceable space below the barrier is not required.</w:t>
      </w:r>
    </w:p>
    <w:p>
      <w:pPr>
        <w:tabs>
          <w:tab w:val="left" w:pos="720"/>
        </w:tabs>
        <w:spacing w:after="100"/>
        <w:ind w:left="720" w:hanging="360"/>
      </w:pPr>
      <w:r>
        <w:rPr>
          <w:rFonts w:ascii="Arial" w:cs="Arial" w:eastAsia="Arial" w:hAnsi="Arial"/>
          <w:b w:val="false"/>
          <w:bCs w:val="false"/>
          <w:i w:val="false"/>
          <w:iCs w:val="false"/>
          <w:sz w:val="20"/>
          <w:szCs w:val="20"/>
        </w:rPr>
        <w:t xml:space="preserve">C.	Drive: [Hydraulic] [Hybrid] [Electric], as specified in Article 2.05.</w:t>
      </w:r>
    </w:p>
    <w:p>
      <w:pPr>
        <w:tabs>
          <w:tab w:val="left" w:pos="720"/>
        </w:tabs>
        <w:spacing w:after="100"/>
        <w:ind w:left="720" w:hanging="360"/>
      </w:pPr>
      <w:r>
        <w:rPr>
          <w:rFonts w:ascii="Arial" w:cs="Arial" w:eastAsia="Arial" w:hAnsi="Arial"/>
          <w:b w:val="false"/>
          <w:bCs w:val="false"/>
          <w:i w:val="false"/>
          <w:iCs w:val="false"/>
          <w:sz w:val="20"/>
          <w:szCs w:val="20"/>
        </w:rPr>
        <w:t xml:space="preserve">D.	Related Requirements:</w:t>
      </w:r>
    </w:p>
    <w:p>
      <w:pPr>
        <w:tabs>
          <w:tab w:val="left" w:pos="1440"/>
        </w:tabs>
        <w:spacing w:after="100"/>
        <w:ind w:left="1440" w:hanging="360"/>
      </w:pPr>
      <w:r>
        <w:rPr>
          <w:rFonts w:ascii="Arial" w:cs="Arial" w:eastAsia="Arial" w:hAnsi="Arial"/>
          <w:b w:val="false"/>
          <w:bCs w:val="false"/>
          <w:i w:val="false"/>
          <w:iCs w:val="false"/>
          <w:sz w:val="20"/>
          <w:szCs w:val="20"/>
        </w:rPr>
        <w:t xml:space="preserve">1.	Section 01 55 26 – Traffic Control.</w:t>
      </w:r>
    </w:p>
    <w:p>
      <w:pPr>
        <w:tabs>
          <w:tab w:val="left" w:pos="1440"/>
        </w:tabs>
        <w:spacing w:after="100"/>
        <w:ind w:left="1440" w:hanging="360"/>
      </w:pPr>
      <w:r>
        <w:rPr>
          <w:rFonts w:ascii="Arial" w:cs="Arial" w:eastAsia="Arial" w:hAnsi="Arial"/>
          <w:b w:val="false"/>
          <w:bCs w:val="false"/>
          <w:i w:val="false"/>
          <w:iCs w:val="false"/>
          <w:sz w:val="20"/>
          <w:szCs w:val="20"/>
        </w:rPr>
        <w:t xml:space="preserve">2.	Section 03 30 00 – Cast in Place Concrete.</w:t>
      </w:r>
    </w:p>
    <w:p>
      <w:pPr>
        <w:tabs>
          <w:tab w:val="left" w:pos="1440"/>
        </w:tabs>
        <w:spacing w:after="100"/>
        <w:ind w:left="1440" w:hanging="360"/>
      </w:pPr>
      <w:r>
        <w:rPr>
          <w:rFonts w:ascii="Arial" w:cs="Arial" w:eastAsia="Arial" w:hAnsi="Arial"/>
          <w:b w:val="false"/>
          <w:bCs w:val="false"/>
          <w:i w:val="false"/>
          <w:iCs w:val="false"/>
          <w:sz w:val="20"/>
          <w:szCs w:val="20"/>
        </w:rPr>
        <w:t xml:space="preserve">3.	[Section 10 14 53 – Traffic Signage.]</w:t>
      </w:r>
    </w:p>
    <w:p>
      <w:pPr>
        <w:tabs>
          <w:tab w:val="left" w:pos="1440"/>
        </w:tabs>
        <w:spacing w:after="100"/>
        <w:ind w:left="1440" w:hanging="360"/>
      </w:pPr>
      <w:r>
        <w:rPr>
          <w:rFonts w:ascii="Arial" w:cs="Arial" w:eastAsia="Arial" w:hAnsi="Arial"/>
          <w:b w:val="false"/>
          <w:bCs w:val="false"/>
          <w:i w:val="false"/>
          <w:iCs w:val="false"/>
          <w:sz w:val="20"/>
          <w:szCs w:val="20"/>
        </w:rPr>
        <w:t xml:space="preserve">4.	Section 26 05 00 – Common Work Results for Electrical.</w:t>
      </w:r>
    </w:p>
    <w:p>
      <w:pPr>
        <w:tabs>
          <w:tab w:val="left" w:pos="1440"/>
        </w:tabs>
        <w:spacing w:after="100"/>
        <w:ind w:left="1440" w:hanging="360"/>
      </w:pPr>
      <w:r>
        <w:rPr>
          <w:rFonts w:ascii="Arial" w:cs="Arial" w:eastAsia="Arial" w:hAnsi="Arial"/>
          <w:b w:val="false"/>
          <w:bCs w:val="false"/>
          <w:i w:val="false"/>
          <w:iCs w:val="false"/>
          <w:sz w:val="20"/>
          <w:szCs w:val="20"/>
        </w:rPr>
        <w:t xml:space="preserve">5.	[Section 26 05 26 – Grounding and Bonding for Electrical Systems.]</w:t>
      </w:r>
    </w:p>
    <w:p>
      <w:pPr>
        <w:tabs>
          <w:tab w:val="left" w:pos="1440"/>
        </w:tabs>
        <w:spacing w:after="100"/>
        <w:ind w:left="1440" w:hanging="360"/>
      </w:pPr>
      <w:r>
        <w:rPr>
          <w:rFonts w:ascii="Arial" w:cs="Arial" w:eastAsia="Arial" w:hAnsi="Arial"/>
          <w:b w:val="false"/>
          <w:bCs w:val="false"/>
          <w:i w:val="false"/>
          <w:iCs w:val="false"/>
          <w:sz w:val="20"/>
          <w:szCs w:val="20"/>
        </w:rPr>
        <w:t xml:space="preserve">6.	Section 28 10 00 – Access Control, where the barrier is operated from or interfaced with an access control system.</w:t>
      </w:r>
    </w:p>
    <w:p>
      <w:pPr>
        <w:tabs>
          <w:tab w:val="left" w:pos="1440"/>
        </w:tabs>
        <w:spacing w:after="100"/>
        <w:ind w:left="1440" w:hanging="360"/>
      </w:pPr>
      <w:r>
        <w:rPr>
          <w:rFonts w:ascii="Arial" w:cs="Arial" w:eastAsia="Arial" w:hAnsi="Arial"/>
          <w:b w:val="false"/>
          <w:bCs w:val="false"/>
          <w:i w:val="false"/>
          <w:iCs w:val="false"/>
          <w:sz w:val="20"/>
          <w:szCs w:val="20"/>
        </w:rPr>
        <w:t xml:space="preserve">7.	Section 31 20 00 – Earth Moving.</w:t>
      </w:r>
    </w:p>
    <w:p>
      <w:pPr>
        <w:tabs>
          <w:tab w:val="left" w:pos="1440"/>
        </w:tabs>
        <w:spacing w:after="100"/>
        <w:ind w:left="1440" w:hanging="360"/>
      </w:pPr>
      <w:r>
        <w:rPr>
          <w:rFonts w:ascii="Arial" w:cs="Arial" w:eastAsia="Arial" w:hAnsi="Arial"/>
          <w:b w:val="false"/>
          <w:bCs w:val="false"/>
          <w:i w:val="false"/>
          <w:iCs w:val="false"/>
          <w:sz w:val="20"/>
          <w:szCs w:val="20"/>
        </w:rPr>
        <w:t xml:space="preserve">8.	[Section 32 12 16 – Asphalt Paving.] [Section 32 13 13 – Concrete Paving.] For paving at the slab interface.</w:t>
      </w:r>
    </w:p>
    <w:p>
      <w:pPr>
        <w:tabs>
          <w:tab w:val="left" w:pos="1440"/>
        </w:tabs>
        <w:spacing w:after="100"/>
        <w:ind w:left="1440" w:hanging="360"/>
      </w:pPr>
      <w:r>
        <w:rPr>
          <w:rFonts w:ascii="Arial" w:cs="Arial" w:eastAsia="Arial" w:hAnsi="Arial"/>
          <w:b w:val="false"/>
          <w:bCs w:val="false"/>
          <w:i w:val="false"/>
          <w:iCs w:val="false"/>
          <w:sz w:val="20"/>
          <w:szCs w:val="20"/>
        </w:rPr>
        <w:t xml:space="preserve">9.	[Section 34 75 13.13 – Crash Rated Drop Arm Barriers, for a crash rated drop arm barrier paired with this barrier.]</w:t>
      </w:r>
    </w:p>
    <w:p>
      <w:pPr>
        <w:keepNext/>
        <w:tabs>
          <w:tab w:val="left" w:pos="720"/>
        </w:tabs>
        <w:spacing w:after="120" w:before="240"/>
      </w:pPr>
      <w:r>
        <w:rPr>
          <w:rFonts w:ascii="Arial" w:cs="Arial" w:eastAsia="Arial" w:hAnsi="Arial"/>
          <w:b/>
          <w:bCs/>
          <w:i w:val="false"/>
          <w:iCs w:val="false"/>
          <w:sz w:val="20"/>
          <w:szCs w:val="20"/>
        </w:rPr>
        <w:t xml:space="preserve">1.03	ADMINISTRATIVE REQUIREMENTS</w:t>
      </w:r>
    </w:p>
    <w:p>
      <w:pPr>
        <w:tabs>
          <w:tab w:val="left" w:pos="720"/>
        </w:tabs>
        <w:spacing w:after="100"/>
        <w:ind w:left="720" w:hanging="360"/>
      </w:pPr>
      <w:r>
        <w:rPr>
          <w:rFonts w:ascii="Arial" w:cs="Arial" w:eastAsia="Arial" w:hAnsi="Arial"/>
          <w:b w:val="false"/>
          <w:bCs w:val="false"/>
          <w:i w:val="false"/>
          <w:iCs w:val="false"/>
          <w:sz w:val="20"/>
          <w:szCs w:val="20"/>
        </w:rPr>
        <w:t xml:space="preserve">A.	Coordination: Coordinate the Work of this Section with Section 03 30 00 for concrete, Section 31 20 00 for earthwork, Section 26 05 00 for power, Section 28 10 00 for access control interfaces, [Section 26 05 26 for grounding and bonding,] the paving Sections for the slab interface, and Division 10 for signage. Coordinate the power characteristics of the scheduled drive, as stated on the Electrical Data submittal, with Division 26 before the electrical Work is released.</w:t>
      </w:r>
    </w:p>
    <w:p>
      <w:pPr>
        <w:tabs>
          <w:tab w:val="left" w:pos="720"/>
        </w:tabs>
        <w:spacing w:after="100"/>
        <w:ind w:left="720" w:hanging="360"/>
      </w:pPr>
      <w:r>
        <w:rPr>
          <w:rFonts w:ascii="Arial" w:cs="Arial" w:eastAsia="Arial" w:hAnsi="Arial"/>
          <w:b w:val="false"/>
          <w:bCs w:val="false"/>
          <w:i w:val="false"/>
          <w:iCs w:val="false"/>
          <w:sz w:val="20"/>
          <w:szCs w:val="20"/>
        </w:rPr>
        <w:t xml:space="preserve">B.	Preinstallation Conference: Conduct at the Project site before excavation, attended by the Contractor, the Installer, the manufacturer representative, the foundation engineer and the [Architect] [Owner]. Review the sealed foundation design, the approved Shop Drawings, services beneath the lane, finish grades, standoff, the electrical supply, the traffic control plan and the manufacturer installation instructions.</w:t>
      </w:r>
    </w:p>
    <w:p>
      <w:pPr>
        <w:tabs>
          <w:tab w:val="left" w:pos="720"/>
        </w:tabs>
        <w:spacing w:after="100"/>
        <w:ind w:left="720" w:hanging="360"/>
      </w:pPr>
      <w:r>
        <w:rPr>
          <w:rFonts w:ascii="Arial" w:cs="Arial" w:eastAsia="Arial" w:hAnsi="Arial"/>
          <w:b w:val="false"/>
          <w:bCs w:val="false"/>
          <w:i w:val="false"/>
          <w:iCs w:val="false"/>
          <w:sz w:val="20"/>
          <w:szCs w:val="20"/>
        </w:rPr>
        <w:t xml:space="preserve">C.	Sequencing: Do not place paving, curbs or islands adjacent to the barrier until the slab has reached the strength required by the sealed foundation design.</w:t>
      </w:r>
    </w:p>
    <w:p>
      <w:pPr>
        <w:keepNext/>
        <w:tabs>
          <w:tab w:val="left" w:pos="720"/>
        </w:tabs>
        <w:spacing w:after="120" w:before="240"/>
      </w:pPr>
      <w:r>
        <w:rPr>
          <w:rFonts w:ascii="Arial" w:cs="Arial" w:eastAsia="Arial" w:hAnsi="Arial"/>
          <w:b/>
          <w:bCs/>
          <w:i w:val="false"/>
          <w:iCs w:val="false"/>
          <w:sz w:val="20"/>
          <w:szCs w:val="20"/>
        </w:rPr>
        <w:t xml:space="preserve">1.04	DEFINITIONS</w:t>
      </w:r>
    </w:p>
    <w:p>
      <w:pPr>
        <w:tabs>
          <w:tab w:val="left" w:pos="720"/>
        </w:tabs>
        <w:spacing w:after="100"/>
        <w:ind w:left="720" w:hanging="360"/>
      </w:pPr>
      <w:r>
        <w:rPr>
          <w:rFonts w:ascii="Arial" w:cs="Arial" w:eastAsia="Arial" w:hAnsi="Arial"/>
          <w:b w:val="false"/>
          <w:bCs w:val="false"/>
          <w:i w:val="false"/>
          <w:iCs w:val="false"/>
          <w:sz w:val="20"/>
          <w:szCs w:val="20"/>
        </w:rPr>
        <w:t xml:space="preserve">A.	Impact Condition Designation: The test vehicle and impact speed under ASTM F2656/F2656M. M50 is a 15,000 lb medium duty truck at 50 mph.</w:t>
      </w:r>
    </w:p>
    <w:p>
      <w:pPr>
        <w:tabs>
          <w:tab w:val="left" w:pos="720"/>
        </w:tabs>
        <w:spacing w:after="100"/>
        <w:ind w:left="720" w:hanging="360"/>
      </w:pPr>
      <w:r>
        <w:rPr>
          <w:rFonts w:ascii="Arial" w:cs="Arial" w:eastAsia="Arial" w:hAnsi="Arial"/>
          <w:b w:val="false"/>
          <w:bCs w:val="false"/>
          <w:i w:val="false"/>
          <w:iCs w:val="false"/>
          <w:sz w:val="20"/>
          <w:szCs w:val="20"/>
        </w:rPr>
        <w:t xml:space="preserve">B.	Penetration Rating: The distance the test vehicle travels past the barrier, as defined in ASTM F2656/F2656M. P1 is not exceeding 3.3 feet.</w:t>
      </w:r>
    </w:p>
    <w:p>
      <w:pPr>
        <w:tabs>
          <w:tab w:val="left" w:pos="720"/>
        </w:tabs>
        <w:spacing w:after="100"/>
        <w:ind w:left="720" w:hanging="360"/>
      </w:pPr>
      <w:r>
        <w:rPr>
          <w:rFonts w:ascii="Arial" w:cs="Arial" w:eastAsia="Arial" w:hAnsi="Arial"/>
          <w:b w:val="false"/>
          <w:bCs w:val="false"/>
          <w:i w:val="false"/>
          <w:iCs w:val="false"/>
          <w:sz w:val="20"/>
          <w:szCs w:val="20"/>
        </w:rPr>
        <w:t xml:space="preserve">C.	Open: The wedge is retracted flush with the running surface and the lane is passable.</w:t>
      </w:r>
    </w:p>
    <w:p>
      <w:pPr>
        <w:tabs>
          <w:tab w:val="left" w:pos="720"/>
        </w:tabs>
        <w:spacing w:after="100"/>
        <w:ind w:left="720" w:hanging="360"/>
      </w:pPr>
      <w:r>
        <w:rPr>
          <w:rFonts w:ascii="Arial" w:cs="Arial" w:eastAsia="Arial" w:hAnsi="Arial"/>
          <w:b w:val="false"/>
          <w:bCs w:val="false"/>
          <w:i w:val="false"/>
          <w:iCs w:val="false"/>
          <w:sz w:val="20"/>
          <w:szCs w:val="20"/>
        </w:rPr>
        <w:t xml:space="preserve">D.	Closed or Secure Position: The wedge is deployed and the lane is blocked.</w:t>
      </w:r>
    </w:p>
    <w:p>
      <w:pPr>
        <w:tabs>
          <w:tab w:val="left" w:pos="720"/>
        </w:tabs>
        <w:spacing w:after="100"/>
        <w:ind w:left="720" w:hanging="360"/>
      </w:pPr>
      <w:r>
        <w:rPr>
          <w:rFonts w:ascii="Arial" w:cs="Arial" w:eastAsia="Arial" w:hAnsi="Arial"/>
          <w:b w:val="false"/>
          <w:bCs w:val="false"/>
          <w:i w:val="false"/>
          <w:iCs w:val="false"/>
          <w:sz w:val="20"/>
          <w:szCs w:val="20"/>
        </w:rPr>
        <w:t xml:space="preserve">E.	Emergency Fast Operate (EFO): The operating input that moves the barrier to the secure position at the emergency cycle time and sounds the alarm until keyed reset.</w:t>
      </w:r>
    </w:p>
    <w:p>
      <w:pPr>
        <w:tabs>
          <w:tab w:val="left" w:pos="720"/>
        </w:tabs>
        <w:spacing w:after="100"/>
        <w:ind w:left="720" w:hanging="360"/>
      </w:pPr>
      <w:r>
        <w:rPr>
          <w:rFonts w:ascii="Arial" w:cs="Arial" w:eastAsia="Arial" w:hAnsi="Arial"/>
          <w:b w:val="false"/>
          <w:bCs w:val="false"/>
          <w:i w:val="false"/>
          <w:iCs w:val="false"/>
          <w:sz w:val="20"/>
          <w:szCs w:val="20"/>
        </w:rPr>
        <w:t xml:space="preserve">F.	Tested Configuration: The barrier, width and components crash tested for the model, as recorded on the crash test certification and shown on the manufacturer standard drawing.</w:t>
      </w:r>
    </w:p>
    <w:p>
      <w:pPr>
        <w:tabs>
          <w:tab w:val="left" w:pos="720"/>
        </w:tabs>
        <w:spacing w:after="100"/>
        <w:ind w:left="720" w:hanging="360"/>
      </w:pPr>
      <w:r>
        <w:rPr>
          <w:rFonts w:ascii="Arial" w:cs="Arial" w:eastAsia="Arial" w:hAnsi="Arial"/>
          <w:b w:val="false"/>
          <w:bCs w:val="false"/>
          <w:i w:val="false"/>
          <w:iCs w:val="false"/>
          <w:sz w:val="20"/>
          <w:szCs w:val="20"/>
        </w:rPr>
        <w:t xml:space="preserve">G.	DoD Anti Ram Vehicle Barrier List: The list of crash tested vehicle barriers maintained by the U.S. Army Corps of Engineers Protective Design Center.</w:t>
      </w:r>
    </w:p>
    <w:p>
      <w:pPr>
        <w:tabs>
          <w:tab w:val="left" w:pos="720"/>
        </w:tabs>
        <w:spacing w:after="100"/>
        <w:ind w:left="720" w:hanging="360"/>
      </w:pPr>
      <w:r>
        <w:rPr>
          <w:rFonts w:ascii="Arial" w:cs="Arial" w:eastAsia="Arial" w:hAnsi="Arial"/>
          <w:b w:val="false"/>
          <w:bCs w:val="false"/>
          <w:i w:val="false"/>
          <w:iCs w:val="false"/>
          <w:sz w:val="20"/>
          <w:szCs w:val="20"/>
        </w:rPr>
        <w:t xml:space="preserve">H.	[Architect] [Owner]: The party so identified in Division 01.</w:t>
      </w:r>
    </w:p>
    <w:p>
      <w:pPr>
        <w:keepNext/>
        <w:tabs>
          <w:tab w:val="left" w:pos="720"/>
        </w:tabs>
        <w:spacing w:after="120" w:before="240"/>
      </w:pPr>
      <w:r>
        <w:rPr>
          <w:rFonts w:ascii="Arial" w:cs="Arial" w:eastAsia="Arial" w:hAnsi="Arial"/>
          <w:b/>
          <w:bCs/>
          <w:i w:val="false"/>
          <w:iCs w:val="false"/>
          <w:sz w:val="20"/>
          <w:szCs w:val="20"/>
        </w:rPr>
        <w:t xml:space="preserve">1.05	REFERENCES</w:t>
      </w:r>
    </w:p>
    <w:p>
      <w:pPr>
        <w:tabs>
          <w:tab w:val="left" w:pos="720"/>
        </w:tabs>
        <w:spacing w:after="100"/>
        <w:ind w:left="720" w:hanging="360"/>
      </w:pPr>
      <w:r>
        <w:rPr>
          <w:rFonts w:ascii="Arial" w:cs="Arial" w:eastAsia="Arial" w:hAnsi="Arial"/>
          <w:b w:val="false"/>
          <w:bCs w:val="false"/>
          <w:i w:val="false"/>
          <w:iCs w:val="false"/>
          <w:sz w:val="20"/>
          <w:szCs w:val="20"/>
        </w:rPr>
        <w:t xml:space="preserve">A.	Reference Standards, current edition at the date of the Contract unless a specific edition is stated:</w:t>
      </w:r>
    </w:p>
    <w:p>
      <w:pPr>
        <w:tabs>
          <w:tab w:val="left" w:pos="1440"/>
        </w:tabs>
        <w:spacing w:after="100"/>
        <w:ind w:left="1440" w:hanging="360"/>
      </w:pPr>
      <w:r>
        <w:rPr>
          <w:rFonts w:ascii="Arial" w:cs="Arial" w:eastAsia="Arial" w:hAnsi="Arial"/>
          <w:b w:val="false"/>
          <w:bCs w:val="false"/>
          <w:i w:val="false"/>
          <w:iCs w:val="false"/>
          <w:sz w:val="20"/>
          <w:szCs w:val="20"/>
        </w:rPr>
        <w:t xml:space="preserve">1.	[AASHTO LRFD Bridge Design Specifications, for the HL 93 design vehicle loading.]</w:t>
      </w:r>
    </w:p>
    <w:p>
      <w:pPr>
        <w:tabs>
          <w:tab w:val="left" w:pos="1440"/>
        </w:tabs>
        <w:spacing w:after="100"/>
        <w:ind w:left="1440" w:hanging="360"/>
      </w:pPr>
      <w:r>
        <w:rPr>
          <w:rFonts w:ascii="Arial" w:cs="Arial" w:eastAsia="Arial" w:hAnsi="Arial"/>
          <w:b w:val="false"/>
          <w:bCs w:val="false"/>
          <w:i w:val="false"/>
          <w:iCs w:val="false"/>
          <w:sz w:val="20"/>
          <w:szCs w:val="20"/>
        </w:rPr>
        <w:t xml:space="preserve">2.	ACI 318 – Building Code Requirements for Structural Concrete.</w:t>
      </w:r>
    </w:p>
    <w:p>
      <w:pPr>
        <w:tabs>
          <w:tab w:val="left" w:pos="1440"/>
        </w:tabs>
        <w:spacing w:after="100"/>
        <w:ind w:left="1440" w:hanging="360"/>
      </w:pPr>
      <w:r>
        <w:rPr>
          <w:rFonts w:ascii="Arial" w:cs="Arial" w:eastAsia="Arial" w:hAnsi="Arial"/>
          <w:b w:val="false"/>
          <w:bCs w:val="false"/>
          <w:i w:val="false"/>
          <w:iCs w:val="false"/>
          <w:sz w:val="20"/>
          <w:szCs w:val="20"/>
        </w:rPr>
        <w:t xml:space="preserve">3.	ASTM A123/A123M – Zinc (Hot Dip Galvanized) Coatings on Iron and Steel Products.</w:t>
      </w:r>
    </w:p>
    <w:p>
      <w:pPr>
        <w:tabs>
          <w:tab w:val="left" w:pos="1440"/>
        </w:tabs>
        <w:spacing w:after="100"/>
        <w:ind w:left="1440" w:hanging="360"/>
      </w:pPr>
      <w:r>
        <w:rPr>
          <w:rFonts w:ascii="Arial" w:cs="Arial" w:eastAsia="Arial" w:hAnsi="Arial"/>
          <w:b w:val="false"/>
          <w:bCs w:val="false"/>
          <w:i w:val="false"/>
          <w:iCs w:val="false"/>
          <w:sz w:val="20"/>
          <w:szCs w:val="20"/>
        </w:rPr>
        <w:t xml:space="preserve">4.	ASTM A615/A615M – Deformed and Plain Carbon Steel Bars for Concrete Reinforcement.</w:t>
      </w:r>
    </w:p>
    <w:p>
      <w:pPr>
        <w:tabs>
          <w:tab w:val="left" w:pos="1440"/>
        </w:tabs>
        <w:spacing w:after="100"/>
        <w:ind w:left="1440" w:hanging="360"/>
      </w:pPr>
      <w:r>
        <w:rPr>
          <w:rFonts w:ascii="Arial" w:cs="Arial" w:eastAsia="Arial" w:hAnsi="Arial"/>
          <w:b w:val="false"/>
          <w:bCs w:val="false"/>
          <w:i w:val="false"/>
          <w:iCs w:val="false"/>
          <w:sz w:val="20"/>
          <w:szCs w:val="20"/>
        </w:rPr>
        <w:t xml:space="preserve">5.	ASTM A780/A780M – Repair of Damaged and Uncoated Areas of Hot Dip Galvanized Coatings.</w:t>
      </w:r>
    </w:p>
    <w:p>
      <w:pPr>
        <w:tabs>
          <w:tab w:val="left" w:pos="1440"/>
        </w:tabs>
        <w:spacing w:after="100"/>
        <w:ind w:left="1440" w:hanging="360"/>
      </w:pPr>
      <w:r>
        <w:rPr>
          <w:rFonts w:ascii="Arial" w:cs="Arial" w:eastAsia="Arial" w:hAnsi="Arial"/>
          <w:b w:val="false"/>
          <w:bCs w:val="false"/>
          <w:i w:val="false"/>
          <w:iCs w:val="false"/>
          <w:sz w:val="20"/>
          <w:szCs w:val="20"/>
        </w:rPr>
        <w:t xml:space="preserve">6.	ASTM D4956 – Retroreflective Sheeting for Traffic Control.</w:t>
      </w:r>
    </w:p>
    <w:p>
      <w:pPr>
        <w:tabs>
          <w:tab w:val="left" w:pos="1440"/>
        </w:tabs>
        <w:spacing w:after="100"/>
        <w:ind w:left="1440" w:hanging="360"/>
      </w:pPr>
      <w:r>
        <w:rPr>
          <w:rFonts w:ascii="Arial" w:cs="Arial" w:eastAsia="Arial" w:hAnsi="Arial"/>
          <w:b w:val="false"/>
          <w:bCs w:val="false"/>
          <w:i w:val="false"/>
          <w:iCs w:val="false"/>
          <w:sz w:val="20"/>
          <w:szCs w:val="20"/>
        </w:rPr>
        <w:t xml:space="preserve">7.	ASTM F2656/F2656M-23 – Crash Testing of Vehicle Security Barriers, the edition under which the scheduled model was tested.</w:t>
      </w:r>
    </w:p>
    <w:p>
      <w:pPr>
        <w:tabs>
          <w:tab w:val="left" w:pos="1440"/>
        </w:tabs>
        <w:spacing w:after="100"/>
        <w:ind w:left="1440" w:hanging="360"/>
      </w:pPr>
      <w:r>
        <w:rPr>
          <w:rFonts w:ascii="Arial" w:cs="Arial" w:eastAsia="Arial" w:hAnsi="Arial"/>
          <w:b w:val="false"/>
          <w:bCs w:val="false"/>
          <w:i w:val="false"/>
          <w:iCs w:val="false"/>
          <w:sz w:val="20"/>
          <w:szCs w:val="20"/>
        </w:rPr>
        <w:t xml:space="preserve">8.	AWS D1.1/D1.1M – Structural Welding Code, Steel.</w:t>
      </w:r>
    </w:p>
    <w:p>
      <w:pPr>
        <w:tabs>
          <w:tab w:val="left" w:pos="1440"/>
        </w:tabs>
        <w:spacing w:after="100"/>
        <w:ind w:left="1440" w:hanging="360"/>
      </w:pPr>
      <w:r>
        <w:rPr>
          <w:rFonts w:ascii="Arial" w:cs="Arial" w:eastAsia="Arial" w:hAnsi="Arial"/>
          <w:b w:val="false"/>
          <w:bCs w:val="false"/>
          <w:i w:val="false"/>
          <w:iCs w:val="false"/>
          <w:sz w:val="20"/>
          <w:szCs w:val="20"/>
        </w:rPr>
        <w:t xml:space="preserve">9.	AWS D1.3/D1.3M – Structural Welding Code, Sheet Steel.</w:t>
      </w:r>
    </w:p>
    <w:p>
      <w:pPr>
        <w:tabs>
          <w:tab w:val="left" w:pos="1440"/>
        </w:tabs>
        <w:spacing w:after="100"/>
        <w:ind w:left="1440" w:hanging="360"/>
      </w:pPr>
      <w:r>
        <w:rPr>
          <w:rFonts w:ascii="Arial" w:cs="Arial" w:eastAsia="Arial" w:hAnsi="Arial"/>
          <w:b w:val="false"/>
          <w:bCs w:val="false"/>
          <w:i w:val="false"/>
          <w:iCs w:val="false"/>
          <w:sz w:val="20"/>
          <w:szCs w:val="20"/>
        </w:rPr>
        <w:t xml:space="preserve">10.	FHWA MUTCD – Manual on Uniform Traffic Control Devices for Streets and Highways.</w:t>
      </w:r>
    </w:p>
    <w:p>
      <w:pPr>
        <w:tabs>
          <w:tab w:val="left" w:pos="1440"/>
        </w:tabs>
        <w:spacing w:after="100"/>
        <w:ind w:left="1440" w:hanging="360"/>
      </w:pPr>
      <w:r>
        <w:rPr>
          <w:rFonts w:ascii="Arial" w:cs="Arial" w:eastAsia="Arial" w:hAnsi="Arial"/>
          <w:b w:val="false"/>
          <w:bCs w:val="false"/>
          <w:i w:val="false"/>
          <w:iCs w:val="false"/>
          <w:sz w:val="20"/>
          <w:szCs w:val="20"/>
        </w:rPr>
        <w:t xml:space="preserve">11.	NEMA 250 – Enclosures for Electrical Equipment (1000 Volts Maximum).</w:t>
      </w:r>
    </w:p>
    <w:p>
      <w:pPr>
        <w:tabs>
          <w:tab w:val="left" w:pos="1440"/>
        </w:tabs>
        <w:spacing w:after="100"/>
        <w:ind w:left="1440" w:hanging="360"/>
      </w:pPr>
      <w:r>
        <w:rPr>
          <w:rFonts w:ascii="Arial" w:cs="Arial" w:eastAsia="Arial" w:hAnsi="Arial"/>
          <w:b w:val="false"/>
          <w:bCs w:val="false"/>
          <w:i w:val="false"/>
          <w:iCs w:val="false"/>
          <w:sz w:val="20"/>
          <w:szCs w:val="20"/>
        </w:rPr>
        <w:t xml:space="preserve">12.	NFPA 70 – National Electrical Code.</w:t>
      </w:r>
    </w:p>
    <w:p>
      <w:pPr>
        <w:tabs>
          <w:tab w:val="left" w:pos="1440"/>
        </w:tabs>
        <w:spacing w:after="100"/>
        <w:ind w:left="1440" w:hanging="360"/>
      </w:pPr>
      <w:r>
        <w:rPr>
          <w:rFonts w:ascii="Arial" w:cs="Arial" w:eastAsia="Arial" w:hAnsi="Arial"/>
          <w:b w:val="false"/>
          <w:bCs w:val="false"/>
          <w:i w:val="false"/>
          <w:iCs w:val="false"/>
          <w:sz w:val="20"/>
          <w:szCs w:val="20"/>
        </w:rPr>
        <w:t xml:space="preserve">13.	UL 508A – Industrial Control Panels.</w:t>
      </w:r>
    </w:p>
    <w:p>
      <w:pPr>
        <w:keepNext/>
        <w:tabs>
          <w:tab w:val="left" w:pos="720"/>
        </w:tabs>
        <w:spacing w:after="120" w:before="240"/>
      </w:pPr>
      <w:r>
        <w:rPr>
          <w:rFonts w:ascii="Arial" w:cs="Arial" w:eastAsia="Arial" w:hAnsi="Arial"/>
          <w:b/>
          <w:bCs/>
          <w:i w:val="false"/>
          <w:iCs w:val="false"/>
          <w:sz w:val="20"/>
          <w:szCs w:val="20"/>
        </w:rPr>
        <w:t xml:space="preserve">1.06	DELEGATED DESIGN</w:t>
      </w:r>
    </w:p>
    <w:p>
      <w:pPr>
        <w:tabs>
          <w:tab w:val="left" w:pos="720"/>
        </w:tabs>
        <w:spacing w:after="100"/>
        <w:ind w:left="720" w:hanging="360"/>
      </w:pPr>
      <w:r>
        <w:rPr>
          <w:rFonts w:ascii="Arial" w:cs="Arial" w:eastAsia="Arial" w:hAnsi="Arial"/>
          <w:b w:val="false"/>
          <w:bCs w:val="false"/>
          <w:i w:val="false"/>
          <w:iCs w:val="false"/>
          <w:sz w:val="20"/>
          <w:szCs w:val="20"/>
        </w:rPr>
        <w:t xml:space="preserve">A.	Engage a professional engineer licensed in the jurisdiction of the Project to design the barrier slab, its reinforcement, and the pavement interface for the conditions of the Project site, using the tested configuration data furnished by the manufacturer. The design shall be engineered per project and sealed by that engineer. This Section is not a sealed engineering document.</w:t>
      </w:r>
    </w:p>
    <w:p>
      <w:pPr>
        <w:tabs>
          <w:tab w:val="left" w:pos="720"/>
        </w:tabs>
        <w:spacing w:after="100"/>
        <w:ind w:left="720" w:hanging="360"/>
      </w:pPr>
      <w:r>
        <w:rPr>
          <w:rFonts w:ascii="Arial" w:cs="Arial" w:eastAsia="Arial" w:hAnsi="Arial"/>
          <w:b w:val="false"/>
          <w:bCs w:val="false"/>
          <w:i w:val="false"/>
          <w:iCs w:val="false"/>
          <w:sz w:val="20"/>
          <w:szCs w:val="20"/>
        </w:rPr>
        <w:t xml:space="preserve">B.	Design Criteria:</w:t>
      </w:r>
    </w:p>
    <w:p>
      <w:pPr>
        <w:tabs>
          <w:tab w:val="left" w:pos="1440"/>
        </w:tabs>
        <w:spacing w:after="100"/>
        <w:ind w:left="1440" w:hanging="360"/>
      </w:pPr>
      <w:r>
        <w:rPr>
          <w:rFonts w:ascii="Arial" w:cs="Arial" w:eastAsia="Arial" w:hAnsi="Arial"/>
          <w:b w:val="false"/>
          <w:bCs w:val="false"/>
          <w:i w:val="false"/>
          <w:iCs w:val="false"/>
          <w:sz w:val="20"/>
          <w:szCs w:val="20"/>
        </w:rPr>
        <w:t xml:space="preserve">1.	Crash Restraint: Not less than the restraint of the tested configuration for the model scheduled. A slab designed to provide not less than that restraint is not a deviation from the tested configuration.</w:t>
      </w:r>
    </w:p>
    <w:p>
      <w:pPr>
        <w:tabs>
          <w:tab w:val="left" w:pos="1440"/>
        </w:tabs>
        <w:spacing w:after="100"/>
        <w:ind w:left="1440" w:hanging="360"/>
      </w:pPr>
      <w:r>
        <w:rPr>
          <w:rFonts w:ascii="Arial" w:cs="Arial" w:eastAsia="Arial" w:hAnsi="Arial"/>
          <w:b w:val="false"/>
          <w:bCs w:val="false"/>
          <w:i w:val="false"/>
          <w:iCs w:val="false"/>
          <w:sz w:val="20"/>
          <w:szCs w:val="20"/>
        </w:rPr>
        <w:t xml:space="preserve">2.	Traffic: [AASHTO HL 93] [Insert design vehicle] wheel loads on the slab.</w:t>
      </w:r>
    </w:p>
    <w:p>
      <w:pPr>
        <w:tabs>
          <w:tab w:val="left" w:pos="1440"/>
        </w:tabs>
        <w:spacing w:after="100"/>
        <w:ind w:left="1440" w:hanging="360"/>
      </w:pPr>
      <w:r>
        <w:rPr>
          <w:rFonts w:ascii="Arial" w:cs="Arial" w:eastAsia="Arial" w:hAnsi="Arial"/>
          <w:b w:val="false"/>
          <w:bCs w:val="false"/>
          <w:i w:val="false"/>
          <w:iCs w:val="false"/>
          <w:sz w:val="20"/>
          <w:szCs w:val="20"/>
        </w:rPr>
        <w:t xml:space="preserve">3.	Pavement Interface: As shown on the Drawings, [asphalt] [concrete] paving.</w:t>
      </w:r>
    </w:p>
    <w:p>
      <w:pPr>
        <w:tabs>
          <w:tab w:val="left" w:pos="1440"/>
        </w:tabs>
        <w:spacing w:after="100"/>
        <w:ind w:left="1440" w:hanging="360"/>
      </w:pPr>
      <w:r>
        <w:rPr>
          <w:rFonts w:ascii="Arial" w:cs="Arial" w:eastAsia="Arial" w:hAnsi="Arial"/>
          <w:b w:val="false"/>
          <w:bCs w:val="false"/>
          <w:i w:val="false"/>
          <w:iCs w:val="false"/>
          <w:sz w:val="20"/>
          <w:szCs w:val="20"/>
        </w:rPr>
        <w:t xml:space="preserve">4.	Concrete: Exposure class [Insert] per ACI 318[, air entrained where freeze thaw exposure applies].</w:t>
      </w:r>
    </w:p>
    <w:p>
      <w:pPr>
        <w:tabs>
          <w:tab w:val="left" w:pos="1440"/>
        </w:tabs>
        <w:spacing w:after="100"/>
        <w:ind w:left="1440" w:hanging="360"/>
      </w:pPr>
      <w:r>
        <w:rPr>
          <w:rFonts w:ascii="Arial" w:cs="Arial" w:eastAsia="Arial" w:hAnsi="Arial"/>
          <w:b w:val="false"/>
          <w:bCs w:val="false"/>
          <w:i w:val="false"/>
          <w:iCs w:val="false"/>
          <w:sz w:val="20"/>
          <w:szCs w:val="20"/>
        </w:rPr>
        <w:t xml:space="preserve">5.	Geotechnical: [The Owner will furnish the geotechnical report identified in Division 01] [The Contractor shall obtain a geotechnical report].</w:t>
      </w:r>
    </w:p>
    <w:p>
      <w:pPr>
        <w:pStyle w:val="SpecifierNote"/>
        <w:pBdr>
          <w:top w:val="single" w:color="1F5C99" w:sz="4" w:space="4"/>
          <w:bottom w:val="single" w:color="1F5C99" w:sz="4" w:space="4"/>
          <w:left w:val="single" w:color="1F5C99" w:sz="4" w:space="4"/>
          <w:right w:val="single" w:color="1F5C99" w:sz="4" w:space="4"/>
        </w:pBdr>
        <w:shd w:fill="EEF3FA" w:val="clear"/>
        <w:spacing w:after="140" w:before="140"/>
        <w:ind w:left="360" w:right="360"/>
      </w:pPr>
      <w:r>
        <w:rPr>
          <w:rFonts w:ascii="Arial" w:cs="Arial" w:eastAsia="Arial" w:hAnsi="Arial"/>
          <w:b/>
          <w:bCs/>
          <w:i/>
          <w:iCs/>
          <w:color w:val="1F5C99"/>
          <w:sz w:val="18"/>
          <w:szCs w:val="18"/>
        </w:rPr>
        <w:t xml:space="preserve">SPECIFIER NOTE: </w:t>
      </w:r>
      <w:r>
        <w:rPr>
          <w:rFonts w:ascii="Arial" w:cs="Arial" w:eastAsia="Arial" w:hAnsi="Arial"/>
          <w:b w:val="false"/>
          <w:bCs w:val="false"/>
          <w:i/>
          <w:iCs/>
          <w:color w:val="1F5C99"/>
          <w:sz w:val="18"/>
          <w:szCs w:val="18"/>
        </w:rPr>
        <w:t xml:space="preserve">The manufacturer publishes no separate wheel load rating for the wedge assembly. The spaces between the fingers are filled with solid concrete, so there is no void within the wedge; traffic loading is a design criterion for the slab. Delete this note before issue.</w:t>
      </w:r>
    </w:p>
    <w:p>
      <w:pPr>
        <w:tabs>
          <w:tab w:val="left" w:pos="720"/>
        </w:tabs>
        <w:spacing w:after="100"/>
        <w:ind w:left="720" w:hanging="360"/>
      </w:pPr>
      <w:r>
        <w:rPr>
          <w:rFonts w:ascii="Arial" w:cs="Arial" w:eastAsia="Arial" w:hAnsi="Arial"/>
          <w:b w:val="false"/>
          <w:bCs w:val="false"/>
          <w:i w:val="false"/>
          <w:iCs w:val="false"/>
          <w:sz w:val="20"/>
          <w:szCs w:val="20"/>
        </w:rPr>
        <w:t xml:space="preserve">C.	Submit calculations and drawings sealed by the engineer under Action Submittals. Do not excavate until the Delegated Design submittal has been returned with a review action permitting construction.</w:t>
      </w:r>
    </w:p>
    <w:p>
      <w:pPr>
        <w:keepNext/>
        <w:tabs>
          <w:tab w:val="left" w:pos="720"/>
        </w:tabs>
        <w:spacing w:after="120" w:before="240"/>
      </w:pPr>
      <w:r>
        <w:rPr>
          <w:rFonts w:ascii="Arial" w:cs="Arial" w:eastAsia="Arial" w:hAnsi="Arial"/>
          <w:b/>
          <w:bCs/>
          <w:i w:val="false"/>
          <w:iCs w:val="false"/>
          <w:sz w:val="20"/>
          <w:szCs w:val="20"/>
        </w:rPr>
        <w:t xml:space="preserve">1.07	ACTION SUBMITTALS</w:t>
      </w:r>
    </w:p>
    <w:p>
      <w:pPr>
        <w:tabs>
          <w:tab w:val="left" w:pos="720"/>
        </w:tabs>
        <w:spacing w:after="100"/>
        <w:ind w:left="720" w:hanging="360"/>
      </w:pPr>
      <w:r>
        <w:rPr>
          <w:rFonts w:ascii="Arial" w:cs="Arial" w:eastAsia="Arial" w:hAnsi="Arial"/>
          <w:b w:val="false"/>
          <w:bCs w:val="false"/>
          <w:i w:val="false"/>
          <w:iCs w:val="false"/>
          <w:sz w:val="20"/>
          <w:szCs w:val="20"/>
        </w:rPr>
        <w:t xml:space="preserve">A.	Submit within [15] calendar days of award. Do not fabricate until submittals are returned with a review action permitting fabrication.</w:t>
      </w:r>
    </w:p>
    <w:p>
      <w:pPr>
        <w:tabs>
          <w:tab w:val="left" w:pos="720"/>
        </w:tabs>
        <w:spacing w:after="100"/>
        <w:ind w:left="720" w:hanging="360"/>
      </w:pPr>
      <w:r>
        <w:rPr>
          <w:rFonts w:ascii="Arial" w:cs="Arial" w:eastAsia="Arial" w:hAnsi="Arial"/>
          <w:b w:val="false"/>
          <w:bCs w:val="false"/>
          <w:i w:val="false"/>
          <w:iCs w:val="false"/>
          <w:sz w:val="20"/>
          <w:szCs w:val="20"/>
        </w:rPr>
        <w:t xml:space="preserve">B.	Product Data: For the barrier, drive, control panel, safety devices, signage, finish, retroreflective sheeting and each scheduled option, with the manufacturer standard drawing for the configuration specified, identified by drawing number, revision and issue date.</w:t>
      </w:r>
    </w:p>
    <w:p>
      <w:pPr>
        <w:tabs>
          <w:tab w:val="left" w:pos="720"/>
        </w:tabs>
        <w:spacing w:after="100"/>
        <w:ind w:left="720" w:hanging="360"/>
      </w:pPr>
      <w:r>
        <w:rPr>
          <w:rFonts w:ascii="Arial" w:cs="Arial" w:eastAsia="Arial" w:hAnsi="Arial"/>
          <w:b w:val="false"/>
          <w:bCs w:val="false"/>
          <w:i w:val="false"/>
          <w:iCs w:val="false"/>
          <w:sz w:val="20"/>
          <w:szCs w:val="20"/>
        </w:rPr>
        <w:t xml:space="preserve">C.	Shop Drawings: Barrier plan and section; blocking width and height; number of units and, where units are set side by side, the arrangement and the gap between adjacent units; slab outline and reinforcement as shown on the sealed foundation design; drive, hydraulic power unit and control panel locations; conduit and cable routing; loop layout; warning light, signal and sign locations; and interfaces to access control, detection and signaling equipment.</w:t>
      </w:r>
    </w:p>
    <w:p>
      <w:pPr>
        <w:tabs>
          <w:tab w:val="left" w:pos="720"/>
        </w:tabs>
        <w:spacing w:after="100"/>
        <w:ind w:left="720" w:hanging="360"/>
      </w:pPr>
      <w:r>
        <w:rPr>
          <w:rFonts w:ascii="Arial" w:cs="Arial" w:eastAsia="Arial" w:hAnsi="Arial"/>
          <w:b w:val="false"/>
          <w:bCs w:val="false"/>
          <w:i w:val="false"/>
          <w:iCs w:val="false"/>
          <w:sz w:val="20"/>
          <w:szCs w:val="20"/>
        </w:rPr>
        <w:t xml:space="preserve">D.	Electrical Data: For the drive scheduled: voltage, phase, frequency, full load current and inrush current; drive rating; control schematics and wiring diagrams; enclosure type per NEMA 250; short circuit current rating of the control panel; and the UL 508A listing of the control panel, or the field evaluation basis where the authority having jurisdiction requires one.</w:t>
      </w:r>
    </w:p>
    <w:p>
      <w:pPr>
        <w:tabs>
          <w:tab w:val="left" w:pos="720"/>
        </w:tabs>
        <w:spacing w:after="100"/>
        <w:ind w:left="720" w:hanging="360"/>
      </w:pPr>
      <w:r>
        <w:rPr>
          <w:rFonts w:ascii="Arial" w:cs="Arial" w:eastAsia="Arial" w:hAnsi="Arial"/>
          <w:b w:val="false"/>
          <w:bCs w:val="false"/>
          <w:i w:val="false"/>
          <w:iCs w:val="false"/>
          <w:sz w:val="20"/>
          <w:szCs w:val="20"/>
        </w:rPr>
        <w:t xml:space="preserve">E.	Samples: [Finger finish color.] [Retroreflective sheeting.]</w:t>
      </w:r>
    </w:p>
    <w:p>
      <w:pPr>
        <w:tabs>
          <w:tab w:val="left" w:pos="720"/>
        </w:tabs>
        <w:spacing w:after="100"/>
        <w:ind w:left="720" w:hanging="360"/>
      </w:pPr>
      <w:r>
        <w:rPr>
          <w:rFonts w:ascii="Arial" w:cs="Arial" w:eastAsia="Arial" w:hAnsi="Arial"/>
          <w:b w:val="false"/>
          <w:bCs w:val="false"/>
          <w:i w:val="false"/>
          <w:iCs w:val="false"/>
          <w:sz w:val="20"/>
          <w:szCs w:val="20"/>
        </w:rPr>
        <w:t xml:space="preserve">F.	Delegated Design Submittal: Sealed calculations and drawings in accordance with Article 1.06.</w:t>
      </w:r>
    </w:p>
    <w:p>
      <w:pPr>
        <w:keepNext/>
        <w:tabs>
          <w:tab w:val="left" w:pos="720"/>
        </w:tabs>
        <w:spacing w:after="120" w:before="240"/>
      </w:pPr>
      <w:r>
        <w:rPr>
          <w:rFonts w:ascii="Arial" w:cs="Arial" w:eastAsia="Arial" w:hAnsi="Arial"/>
          <w:b/>
          <w:bCs/>
          <w:i w:val="false"/>
          <w:iCs w:val="false"/>
          <w:sz w:val="20"/>
          <w:szCs w:val="20"/>
        </w:rPr>
        <w:t xml:space="preserve">1.08	INFORMATIONAL SUBMITTALS</w:t>
      </w:r>
    </w:p>
    <w:p>
      <w:pPr>
        <w:tabs>
          <w:tab w:val="left" w:pos="720"/>
        </w:tabs>
        <w:spacing w:after="100"/>
        <w:ind w:left="720" w:hanging="360"/>
      </w:pPr>
      <w:r>
        <w:rPr>
          <w:rFonts w:ascii="Arial" w:cs="Arial" w:eastAsia="Arial" w:hAnsi="Arial"/>
          <w:b w:val="false"/>
          <w:bCs w:val="false"/>
          <w:i w:val="false"/>
          <w:iCs w:val="false"/>
          <w:sz w:val="20"/>
          <w:szCs w:val="20"/>
        </w:rPr>
        <w:t xml:space="preserve">A.	Test Reports: The ASTM F2656/F2656M crash test certification for the barrier, identifying the standard edition, the test report and the configuration and width tested; and a current DoD Anti Ram Vehicle Barrier List printout dated within [30] days of submittal.</w:t>
      </w:r>
    </w:p>
    <w:p>
      <w:pPr>
        <w:tabs>
          <w:tab w:val="left" w:pos="720"/>
        </w:tabs>
        <w:spacing w:after="100"/>
        <w:ind w:left="720" w:hanging="360"/>
      </w:pPr>
      <w:r>
        <w:rPr>
          <w:rFonts w:ascii="Arial" w:cs="Arial" w:eastAsia="Arial" w:hAnsi="Arial"/>
          <w:b w:val="false"/>
          <w:bCs w:val="false"/>
          <w:i w:val="false"/>
          <w:iCs w:val="false"/>
          <w:sz w:val="20"/>
          <w:szCs w:val="20"/>
        </w:rPr>
        <w:t xml:space="preserve">B.	Rating Applicability Letter: Where the specified blocking width differs from the tested width, where units are set side by side, or where the drive scheduled is not stated on the crash test certification, a letter signed by the manufacturer engineer stating that the rating applies at the specified width, arrangement and drive, citing the crash test certification and the engineering basis. The DoD listing covers the tested configuration only. The rating extends to a width or arrangement other than the tested configuration only to the extent stated in that letter.</w:t>
      </w:r>
    </w:p>
    <w:p>
      <w:pPr>
        <w:tabs>
          <w:tab w:val="left" w:pos="720"/>
        </w:tabs>
        <w:spacing w:after="100"/>
        <w:ind w:left="720" w:hanging="360"/>
      </w:pPr>
      <w:r>
        <w:rPr>
          <w:rFonts w:ascii="Arial" w:cs="Arial" w:eastAsia="Arial" w:hAnsi="Arial"/>
          <w:b w:val="false"/>
          <w:bCs w:val="false"/>
          <w:i w:val="false"/>
          <w:iCs w:val="false"/>
          <w:sz w:val="20"/>
          <w:szCs w:val="20"/>
        </w:rPr>
        <w:t xml:space="preserve">C.	Certificates: Mill certificates for steel and reinforcement; galvanizing certification to ASTM A123/A123M; coater certificate of conformance for each lot of powder coated fingers.</w:t>
      </w:r>
    </w:p>
    <w:p>
      <w:pPr>
        <w:tabs>
          <w:tab w:val="left" w:pos="720"/>
        </w:tabs>
        <w:spacing w:after="100"/>
        <w:ind w:left="720" w:hanging="360"/>
      </w:pPr>
      <w:r>
        <w:rPr>
          <w:rFonts w:ascii="Arial" w:cs="Arial" w:eastAsia="Arial" w:hAnsi="Arial"/>
          <w:b w:val="false"/>
          <w:bCs w:val="false"/>
          <w:i w:val="false"/>
          <w:iCs w:val="false"/>
          <w:sz w:val="20"/>
          <w:szCs w:val="20"/>
        </w:rPr>
        <w:t xml:space="preserve">D.	Welding Certificates: Welding procedure specifications and welder qualifications in accordance with Paragraph 1.10.D, for information.</w:t>
      </w:r>
    </w:p>
    <w:p>
      <w:pPr>
        <w:tabs>
          <w:tab w:val="left" w:pos="720"/>
        </w:tabs>
        <w:spacing w:after="100"/>
        <w:ind w:left="720" w:hanging="360"/>
      </w:pPr>
      <w:r>
        <w:rPr>
          <w:rFonts w:ascii="Arial" w:cs="Arial" w:eastAsia="Arial" w:hAnsi="Arial"/>
          <w:b w:val="false"/>
          <w:bCs w:val="false"/>
          <w:i w:val="false"/>
          <w:iCs w:val="false"/>
          <w:sz w:val="20"/>
          <w:szCs w:val="20"/>
        </w:rPr>
        <w:t xml:space="preserve">E.	Qualification Data: For manufacturer and Installer, including the manufacturer training certificate for the Installer crew foreman.</w:t>
      </w:r>
    </w:p>
    <w:p>
      <w:pPr>
        <w:tabs>
          <w:tab w:val="left" w:pos="720"/>
        </w:tabs>
        <w:spacing w:after="100"/>
        <w:ind w:left="720" w:hanging="360"/>
      </w:pPr>
      <w:r>
        <w:rPr>
          <w:rFonts w:ascii="Arial" w:cs="Arial" w:eastAsia="Arial" w:hAnsi="Arial"/>
          <w:b w:val="false"/>
          <w:bCs w:val="false"/>
          <w:i w:val="false"/>
          <w:iCs w:val="false"/>
          <w:sz w:val="20"/>
          <w:szCs w:val="20"/>
        </w:rPr>
        <w:t xml:space="preserve">F.	Manufacturer Instructions: Printed installation instructions and installation drawings for the barrier and drive furnished.</w:t>
      </w:r>
    </w:p>
    <w:p>
      <w:pPr>
        <w:tabs>
          <w:tab w:val="left" w:pos="720"/>
        </w:tabs>
        <w:spacing w:after="100"/>
        <w:ind w:left="720" w:hanging="360"/>
      </w:pPr>
      <w:r>
        <w:rPr>
          <w:rFonts w:ascii="Arial" w:cs="Arial" w:eastAsia="Arial" w:hAnsi="Arial"/>
          <w:b w:val="false"/>
          <w:bCs w:val="false"/>
          <w:i w:val="false"/>
          <w:iCs w:val="false"/>
          <w:sz w:val="20"/>
          <w:szCs w:val="20"/>
        </w:rPr>
        <w:t xml:space="preserve">G.	Manufacturer Field Reports: The written reports required by Paragraph 3.05.C.</w:t>
      </w:r>
    </w:p>
    <w:p>
      <w:pPr>
        <w:keepNext/>
        <w:tabs>
          <w:tab w:val="left" w:pos="720"/>
        </w:tabs>
        <w:spacing w:after="120" w:before="240"/>
      </w:pPr>
      <w:r>
        <w:rPr>
          <w:rFonts w:ascii="Arial" w:cs="Arial" w:eastAsia="Arial" w:hAnsi="Arial"/>
          <w:b/>
          <w:bCs/>
          <w:i w:val="false"/>
          <w:iCs w:val="false"/>
          <w:sz w:val="20"/>
          <w:szCs w:val="20"/>
        </w:rPr>
        <w:t xml:space="preserve">1.09	CLOSEOUT SUBMITTALS</w:t>
      </w:r>
    </w:p>
    <w:p>
      <w:pPr>
        <w:tabs>
          <w:tab w:val="left" w:pos="720"/>
        </w:tabs>
        <w:spacing w:after="100"/>
        <w:ind w:left="720" w:hanging="360"/>
      </w:pPr>
      <w:r>
        <w:rPr>
          <w:rFonts w:ascii="Arial" w:cs="Arial" w:eastAsia="Arial" w:hAnsi="Arial"/>
          <w:b w:val="false"/>
          <w:bCs w:val="false"/>
          <w:i w:val="false"/>
          <w:iCs w:val="false"/>
          <w:sz w:val="20"/>
          <w:szCs w:val="20"/>
        </w:rPr>
        <w:t xml:space="preserve">A.	Warranty: Executed warranty naming the Project, in accordance with Article 1.14.</w:t>
      </w:r>
    </w:p>
    <w:p>
      <w:pPr>
        <w:tabs>
          <w:tab w:val="left" w:pos="720"/>
        </w:tabs>
        <w:spacing w:after="100"/>
        <w:ind w:left="720" w:hanging="360"/>
      </w:pPr>
      <w:r>
        <w:rPr>
          <w:rFonts w:ascii="Arial" w:cs="Arial" w:eastAsia="Arial" w:hAnsi="Arial"/>
          <w:b w:val="false"/>
          <w:bCs w:val="false"/>
          <w:i w:val="false"/>
          <w:iCs w:val="false"/>
          <w:sz w:val="20"/>
          <w:szCs w:val="20"/>
        </w:rPr>
        <w:t xml:space="preserve">B.	Maintenance Data: The manufacturer operation, inspection and maintenance manual, in accordance with Section 01 78 23, including the following as required content:</w:t>
      </w:r>
    </w:p>
    <w:p>
      <w:pPr>
        <w:tabs>
          <w:tab w:val="left" w:pos="1440"/>
        </w:tabs>
        <w:spacing w:after="100"/>
        <w:ind w:left="1440" w:hanging="360"/>
      </w:pPr>
      <w:r>
        <w:rPr>
          <w:rFonts w:ascii="Arial" w:cs="Arial" w:eastAsia="Arial" w:hAnsi="Arial"/>
          <w:b w:val="false"/>
          <w:bCs w:val="false"/>
          <w:i w:val="false"/>
          <w:iCs w:val="false"/>
          <w:sz w:val="20"/>
          <w:szCs w:val="20"/>
        </w:rPr>
        <w:t xml:space="preserve">1.	After any impact: do not rely on the barrier until damaged components have been replaced with manufacturer components, the slab has been assessed by a professional engineer licensed in the jurisdiction of the Project and repaired or replaced, and the tested configuration has been restored.</w:t>
      </w:r>
    </w:p>
    <w:p>
      <w:pPr>
        <w:tabs>
          <w:tab w:val="left" w:pos="1440"/>
        </w:tabs>
        <w:spacing w:after="100"/>
        <w:ind w:left="1440" w:hanging="360"/>
      </w:pPr>
      <w:r>
        <w:rPr>
          <w:rFonts w:ascii="Arial" w:cs="Arial" w:eastAsia="Arial" w:hAnsi="Arial"/>
          <w:b w:val="false"/>
          <w:bCs w:val="false"/>
          <w:i w:val="false"/>
          <w:iCs w:val="false"/>
          <w:sz w:val="20"/>
          <w:szCs w:val="20"/>
        </w:rPr>
        <w:t xml:space="preserve">2.	Inspection and maintenance intervals for the drive, fixings, safety devices and finish, and confirmation of alarm, keyed reset and position holding functions, with the lane closed to traffic during the work.</w:t>
      </w:r>
    </w:p>
    <w:p>
      <w:pPr>
        <w:tabs>
          <w:tab w:val="left" w:pos="1440"/>
        </w:tabs>
        <w:spacing w:after="100"/>
        <w:ind w:left="1440" w:hanging="360"/>
      </w:pPr>
      <w:r>
        <w:rPr>
          <w:rFonts w:ascii="Arial" w:cs="Arial" w:eastAsia="Arial" w:hAnsi="Arial"/>
          <w:b w:val="false"/>
          <w:bCs w:val="false"/>
          <w:i w:val="false"/>
          <w:iCs w:val="false"/>
          <w:sz w:val="20"/>
          <w:szCs w:val="20"/>
        </w:rPr>
        <w:t xml:space="preserve">3.	Clearance of the barrier recess and running surface of debris, sand, snow and ice.</w:t>
      </w:r>
    </w:p>
    <w:p>
      <w:pPr>
        <w:tabs>
          <w:tab w:val="left" w:pos="720"/>
        </w:tabs>
        <w:spacing w:after="100"/>
        <w:ind w:left="720" w:hanging="360"/>
      </w:pPr>
      <w:r>
        <w:rPr>
          <w:rFonts w:ascii="Arial" w:cs="Arial" w:eastAsia="Arial" w:hAnsi="Arial"/>
          <w:b w:val="false"/>
          <w:bCs w:val="false"/>
          <w:i w:val="false"/>
          <w:iCs w:val="false"/>
          <w:sz w:val="20"/>
          <w:szCs w:val="20"/>
        </w:rPr>
        <w:t xml:space="preserve">C.	Record Documents: The foundation record with photographs and the commissioning record required by Article 3.05.</w:t>
      </w:r>
    </w:p>
    <w:p>
      <w:pPr>
        <w:tabs>
          <w:tab w:val="left" w:pos="720"/>
        </w:tabs>
        <w:spacing w:after="100"/>
        <w:ind w:left="720" w:hanging="360"/>
      </w:pPr>
      <w:r>
        <w:rPr>
          <w:rFonts w:ascii="Arial" w:cs="Arial" w:eastAsia="Arial" w:hAnsi="Arial"/>
          <w:b w:val="false"/>
          <w:bCs w:val="false"/>
          <w:i w:val="false"/>
          <w:iCs w:val="false"/>
          <w:sz w:val="20"/>
          <w:szCs w:val="20"/>
        </w:rPr>
        <w:t xml:space="preserve">D.	Spare Parts List: For the drive, controls and safety devices furnished.</w:t>
      </w:r>
    </w:p>
    <w:p>
      <w:pPr>
        <w:keepNext/>
        <w:tabs>
          <w:tab w:val="left" w:pos="720"/>
        </w:tabs>
        <w:spacing w:after="120" w:before="240"/>
      </w:pPr>
      <w:r>
        <w:rPr>
          <w:rFonts w:ascii="Arial" w:cs="Arial" w:eastAsia="Arial" w:hAnsi="Arial"/>
          <w:b/>
          <w:bCs/>
          <w:i w:val="false"/>
          <w:iCs w:val="false"/>
          <w:sz w:val="20"/>
          <w:szCs w:val="20"/>
        </w:rPr>
        <w:t xml:space="preserve">1.10	QUALITY ASSURANCE</w:t>
      </w:r>
    </w:p>
    <w:p>
      <w:pPr>
        <w:tabs>
          <w:tab w:val="left" w:pos="720"/>
        </w:tabs>
        <w:spacing w:after="100"/>
        <w:ind w:left="720" w:hanging="360"/>
      </w:pPr>
      <w:r>
        <w:rPr>
          <w:rFonts w:ascii="Arial" w:cs="Arial" w:eastAsia="Arial" w:hAnsi="Arial"/>
          <w:b w:val="false"/>
          <w:bCs w:val="false"/>
          <w:i w:val="false"/>
          <w:iCs w:val="false"/>
          <w:sz w:val="20"/>
          <w:szCs w:val="20"/>
        </w:rPr>
        <w:t xml:space="preserve">A.	Manufacturer Qualifications: A firm regularly engaged in the manufacture of crash rated vehicle barriers for not less than [10] years.</w:t>
      </w:r>
    </w:p>
    <w:p>
      <w:pPr>
        <w:tabs>
          <w:tab w:val="left" w:pos="720"/>
        </w:tabs>
        <w:spacing w:after="100"/>
        <w:ind w:left="720" w:hanging="360"/>
      </w:pPr>
      <w:r>
        <w:rPr>
          <w:rFonts w:ascii="Arial" w:cs="Arial" w:eastAsia="Arial" w:hAnsi="Arial"/>
          <w:b w:val="false"/>
          <w:bCs w:val="false"/>
          <w:i w:val="false"/>
          <w:iCs w:val="false"/>
          <w:sz w:val="20"/>
          <w:szCs w:val="20"/>
        </w:rPr>
        <w:t xml:space="preserve">B.	Installer Qualifications: A firm specializing in the installation of crash rated active vehicle barriers, with not less than [2] years documented experience on comparable work, whose crew foreman holds the manufacturer training certificate for this product, dated within [Insert] months before the start of installation.</w:t>
      </w:r>
    </w:p>
    <w:p>
      <w:pPr>
        <w:tabs>
          <w:tab w:val="left" w:pos="720"/>
        </w:tabs>
        <w:spacing w:after="100"/>
        <w:ind w:left="720" w:hanging="360"/>
      </w:pPr>
      <w:r>
        <w:rPr>
          <w:rFonts w:ascii="Arial" w:cs="Arial" w:eastAsia="Arial" w:hAnsi="Arial"/>
          <w:b w:val="false"/>
          <w:bCs w:val="false"/>
          <w:i w:val="false"/>
          <w:iCs w:val="false"/>
          <w:sz w:val="20"/>
          <w:szCs w:val="20"/>
        </w:rPr>
        <w:t xml:space="preserve">C.	Source Limitations: Obtain the barrier, drive and control panel from a single manufacturer under a single warranty.</w:t>
      </w:r>
    </w:p>
    <w:p>
      <w:pPr>
        <w:tabs>
          <w:tab w:val="left" w:pos="720"/>
        </w:tabs>
        <w:spacing w:after="100"/>
        <w:ind w:left="720" w:hanging="360"/>
      </w:pPr>
      <w:r>
        <w:rPr>
          <w:rFonts w:ascii="Arial" w:cs="Arial" w:eastAsia="Arial" w:hAnsi="Arial"/>
          <w:b w:val="false"/>
          <w:bCs w:val="false"/>
          <w:i w:val="false"/>
          <w:iCs w:val="false"/>
          <w:sz w:val="20"/>
          <w:szCs w:val="20"/>
        </w:rPr>
        <w:t xml:space="preserve">D.	Welding: Shop weld steel 1/8 in and thicker in accordance with AWS D1.1/D1.1M, and any sheet steel member less than 1/8 in thick in accordance with AWS D1.3/D1.3M, by welders qualified to the applicable code.</w:t>
      </w:r>
    </w:p>
    <w:p>
      <w:pPr>
        <w:keepNext/>
        <w:tabs>
          <w:tab w:val="left" w:pos="720"/>
        </w:tabs>
        <w:spacing w:after="120" w:before="240"/>
      </w:pPr>
      <w:r>
        <w:rPr>
          <w:rFonts w:ascii="Arial" w:cs="Arial" w:eastAsia="Arial" w:hAnsi="Arial"/>
          <w:b/>
          <w:bCs/>
          <w:i w:val="false"/>
          <w:iCs w:val="false"/>
          <w:sz w:val="20"/>
          <w:szCs w:val="20"/>
        </w:rPr>
        <w:t xml:space="preserve">1.11	SUBSTITUTIONS</w:t>
      </w:r>
    </w:p>
    <w:p>
      <w:pPr>
        <w:tabs>
          <w:tab w:val="left" w:pos="720"/>
        </w:tabs>
        <w:spacing w:after="100"/>
        <w:ind w:left="720" w:hanging="360"/>
      </w:pPr>
      <w:r>
        <w:rPr>
          <w:rFonts w:ascii="Arial" w:cs="Arial" w:eastAsia="Arial" w:hAnsi="Arial"/>
          <w:b w:val="false"/>
          <w:bCs w:val="false"/>
          <w:i w:val="false"/>
          <w:iCs w:val="false"/>
          <w:sz w:val="20"/>
          <w:szCs w:val="20"/>
        </w:rPr>
        <w:t xml:space="preserve">A.	Comply with Division 01. The product named in Article 2.01 establishes the basis of design. Alternates will be considered only where they equal or exceed every characteristic specified in Part 2.</w:t>
      </w:r>
    </w:p>
    <w:p>
      <w:pPr>
        <w:tabs>
          <w:tab w:val="left" w:pos="720"/>
        </w:tabs>
        <w:spacing w:after="100"/>
        <w:ind w:left="720" w:hanging="360"/>
      </w:pPr>
      <w:r>
        <w:rPr>
          <w:rFonts w:ascii="Arial" w:cs="Arial" w:eastAsia="Arial" w:hAnsi="Arial"/>
          <w:b w:val="false"/>
          <w:bCs w:val="false"/>
          <w:i w:val="false"/>
          <w:iCs w:val="false"/>
          <w:sz w:val="20"/>
          <w:szCs w:val="20"/>
        </w:rPr>
        <w:t xml:space="preserve">B.	In addition to the Division 01 requirements, submit with each request:</w:t>
      </w:r>
    </w:p>
    <w:p>
      <w:pPr>
        <w:tabs>
          <w:tab w:val="left" w:pos="1440"/>
        </w:tabs>
        <w:spacing w:after="100"/>
        <w:ind w:left="1440" w:hanging="360"/>
      </w:pPr>
      <w:r>
        <w:rPr>
          <w:rFonts w:ascii="Arial" w:cs="Arial" w:eastAsia="Arial" w:hAnsi="Arial"/>
          <w:b w:val="false"/>
          <w:bCs w:val="false"/>
          <w:i w:val="false"/>
          <w:iCs w:val="false"/>
          <w:sz w:val="20"/>
          <w:szCs w:val="20"/>
        </w:rPr>
        <w:t xml:space="preserve">1.	A point by point tabular comparison against Part 2 identifying all deviations.</w:t>
      </w:r>
    </w:p>
    <w:p>
      <w:pPr>
        <w:tabs>
          <w:tab w:val="left" w:pos="1440"/>
        </w:tabs>
        <w:spacing w:after="100"/>
        <w:ind w:left="1440" w:hanging="360"/>
      </w:pPr>
      <w:r>
        <w:rPr>
          <w:rFonts w:ascii="Arial" w:cs="Arial" w:eastAsia="Arial" w:hAnsi="Arial"/>
          <w:b w:val="false"/>
          <w:bCs w:val="false"/>
          <w:i w:val="false"/>
          <w:iCs w:val="false"/>
          <w:sz w:val="20"/>
          <w:szCs w:val="20"/>
        </w:rPr>
        <w:t xml:space="preserve">2.	A full scale ASTM F2656/F2656M crash test certification at M50 P1 for the configuration and width offered.</w:t>
      </w:r>
    </w:p>
    <w:p>
      <w:pPr>
        <w:tabs>
          <w:tab w:val="left" w:pos="1440"/>
        </w:tabs>
        <w:spacing w:after="100"/>
        <w:ind w:left="1440" w:hanging="360"/>
      </w:pPr>
      <w:r>
        <w:rPr>
          <w:rFonts w:ascii="Arial" w:cs="Arial" w:eastAsia="Arial" w:hAnsi="Arial"/>
          <w:b w:val="false"/>
          <w:bCs w:val="false"/>
          <w:i w:val="false"/>
          <w:iCs w:val="false"/>
          <w:sz w:val="20"/>
          <w:szCs w:val="20"/>
        </w:rPr>
        <w:t xml:space="preserve">3.	Evidence of current listing on the DoD Anti Ram Vehicle Barrier List for the configuration offered.</w:t>
      </w:r>
    </w:p>
    <w:p>
      <w:pPr>
        <w:tabs>
          <w:tab w:val="left" w:pos="1440"/>
        </w:tabs>
        <w:spacing w:after="100"/>
        <w:ind w:left="1440" w:hanging="360"/>
      </w:pPr>
      <w:r>
        <w:rPr>
          <w:rFonts w:ascii="Arial" w:cs="Arial" w:eastAsia="Arial" w:hAnsi="Arial"/>
          <w:b w:val="false"/>
          <w:bCs w:val="false"/>
          <w:i w:val="false"/>
          <w:iCs w:val="false"/>
          <w:sz w:val="20"/>
          <w:szCs w:val="20"/>
        </w:rPr>
        <w:t xml:space="preserve">4.	The foundation type and excavation required, with a statement of the civil scope that follows from it.</w:t>
      </w:r>
    </w:p>
    <w:p>
      <w:pPr>
        <w:tabs>
          <w:tab w:val="left" w:pos="1440"/>
        </w:tabs>
        <w:spacing w:after="100"/>
        <w:ind w:left="1440" w:hanging="360"/>
      </w:pPr>
      <w:r>
        <w:rPr>
          <w:rFonts w:ascii="Arial" w:cs="Arial" w:eastAsia="Arial" w:hAnsi="Arial"/>
          <w:b w:val="false"/>
          <w:bCs w:val="false"/>
          <w:i w:val="false"/>
          <w:iCs w:val="false"/>
          <w:sz w:val="20"/>
          <w:szCs w:val="20"/>
        </w:rPr>
        <w:t xml:space="preserve">5.	The manufacturer published warranty document.</w:t>
      </w:r>
    </w:p>
    <w:p>
      <w:pPr>
        <w:tabs>
          <w:tab w:val="left" w:pos="1440"/>
        </w:tabs>
        <w:spacing w:after="100"/>
        <w:ind w:left="1440" w:hanging="360"/>
      </w:pPr>
      <w:r>
        <w:rPr>
          <w:rFonts w:ascii="Arial" w:cs="Arial" w:eastAsia="Arial" w:hAnsi="Arial"/>
          <w:b w:val="false"/>
          <w:bCs w:val="false"/>
          <w:i w:val="false"/>
          <w:iCs w:val="false"/>
          <w:sz w:val="20"/>
          <w:szCs w:val="20"/>
        </w:rPr>
        <w:t xml:space="preserve">6.	[3] references in service not less than [5] years.</w:t>
      </w:r>
    </w:p>
    <w:p>
      <w:pPr>
        <w:tabs>
          <w:tab w:val="left" w:pos="1440"/>
        </w:tabs>
        <w:spacing w:after="100"/>
        <w:ind w:left="1440" w:hanging="360"/>
      </w:pPr>
      <w:r>
        <w:rPr>
          <w:rFonts w:ascii="Arial" w:cs="Arial" w:eastAsia="Arial" w:hAnsi="Arial"/>
          <w:b w:val="false"/>
          <w:bCs w:val="false"/>
          <w:i w:val="false"/>
          <w:iCs w:val="false"/>
          <w:sz w:val="20"/>
          <w:szCs w:val="20"/>
        </w:rPr>
        <w:t xml:space="preserve">7.	A written statement of every consequential change to foundations, utilities, paving, electrical work or adjacent work, and the party bearing that cost.</w:t>
      </w:r>
    </w:p>
    <w:p>
      <w:pPr>
        <w:tabs>
          <w:tab w:val="left" w:pos="720"/>
        </w:tabs>
        <w:spacing w:after="100"/>
        <w:ind w:left="720" w:hanging="360"/>
      </w:pPr>
      <w:r>
        <w:rPr>
          <w:rFonts w:ascii="Arial" w:cs="Arial" w:eastAsia="Arial" w:hAnsi="Arial"/>
          <w:b w:val="false"/>
          <w:bCs w:val="false"/>
          <w:i w:val="false"/>
          <w:iCs w:val="false"/>
          <w:sz w:val="20"/>
          <w:szCs w:val="20"/>
        </w:rPr>
        <w:t xml:space="preserve">C.	The following are not acceptable:</w:t>
      </w:r>
    </w:p>
    <w:p>
      <w:pPr>
        <w:tabs>
          <w:tab w:val="left" w:pos="1440"/>
        </w:tabs>
        <w:spacing w:after="100"/>
        <w:ind w:left="1440" w:hanging="360"/>
      </w:pPr>
      <w:r>
        <w:rPr>
          <w:rFonts w:ascii="Arial" w:cs="Arial" w:eastAsia="Arial" w:hAnsi="Arial"/>
          <w:b w:val="false"/>
          <w:bCs w:val="false"/>
          <w:i w:val="false"/>
          <w:iCs w:val="false"/>
          <w:sz w:val="20"/>
          <w:szCs w:val="20"/>
        </w:rPr>
        <w:t xml:space="preserve">1.	A design supported by calculation or simulation without a full scale crash test.</w:t>
      </w:r>
    </w:p>
    <w:p>
      <w:pPr>
        <w:tabs>
          <w:tab w:val="left" w:pos="1440"/>
        </w:tabs>
        <w:spacing w:after="100"/>
        <w:ind w:left="1440" w:hanging="360"/>
      </w:pPr>
      <w:r>
        <w:rPr>
          <w:rFonts w:ascii="Arial" w:cs="Arial" w:eastAsia="Arial" w:hAnsi="Arial"/>
          <w:b w:val="false"/>
          <w:bCs w:val="false"/>
          <w:i w:val="false"/>
          <w:iCs w:val="false"/>
          <w:sz w:val="20"/>
          <w:szCs w:val="20"/>
        </w:rPr>
        <w:t xml:space="preserve">2.	A rating held by a different configuration, width or foundation than the product offered.</w:t>
      </w:r>
    </w:p>
    <w:p>
      <w:pPr>
        <w:keepNext/>
        <w:tabs>
          <w:tab w:val="left" w:pos="720"/>
        </w:tabs>
        <w:spacing w:after="120" w:before="240"/>
      </w:pPr>
      <w:r>
        <w:rPr>
          <w:rFonts w:ascii="Arial" w:cs="Arial" w:eastAsia="Arial" w:hAnsi="Arial"/>
          <w:b/>
          <w:bCs/>
          <w:i w:val="false"/>
          <w:iCs w:val="false"/>
          <w:sz w:val="20"/>
          <w:szCs w:val="20"/>
        </w:rPr>
        <w:t xml:space="preserve">1.12	DELIVERY, STORAGE AND HANDLING</w:t>
      </w:r>
    </w:p>
    <w:p>
      <w:pPr>
        <w:tabs>
          <w:tab w:val="left" w:pos="720"/>
        </w:tabs>
        <w:spacing w:after="100"/>
        <w:ind w:left="720" w:hanging="360"/>
      </w:pPr>
      <w:r>
        <w:rPr>
          <w:rFonts w:ascii="Arial" w:cs="Arial" w:eastAsia="Arial" w:hAnsi="Arial"/>
          <w:b w:val="false"/>
          <w:bCs w:val="false"/>
          <w:i w:val="false"/>
          <w:iCs w:val="false"/>
          <w:sz w:val="20"/>
          <w:szCs w:val="20"/>
        </w:rPr>
        <w:t xml:space="preserve">A.	Deliver materials in the manufacturer packaging with shipping labels intact. Furnish a packing list with each shipment, verify contents on receipt, and report shortages or transit damage immediately.</w:t>
      </w:r>
    </w:p>
    <w:p>
      <w:pPr>
        <w:tabs>
          <w:tab w:val="left" w:pos="720"/>
        </w:tabs>
        <w:spacing w:after="100"/>
        <w:ind w:left="720" w:hanging="360"/>
      </w:pPr>
      <w:r>
        <w:rPr>
          <w:rFonts w:ascii="Arial" w:cs="Arial" w:eastAsia="Arial" w:hAnsi="Arial"/>
          <w:b w:val="false"/>
          <w:bCs w:val="false"/>
          <w:i w:val="false"/>
          <w:iCs w:val="false"/>
          <w:sz w:val="20"/>
          <w:szCs w:val="20"/>
        </w:rPr>
        <w:t xml:space="preserve">B.	Store the barrier assembly, drive and control equipment under cover, above ground on supports, protected from weather, standing water, construction traffic, vandalism and theft, until the foundation is ready to receive them.</w:t>
      </w:r>
    </w:p>
    <w:p>
      <w:pPr>
        <w:tabs>
          <w:tab w:val="left" w:pos="720"/>
        </w:tabs>
        <w:spacing w:after="100"/>
        <w:ind w:left="720" w:hanging="360"/>
      </w:pPr>
      <w:r>
        <w:rPr>
          <w:rFonts w:ascii="Arial" w:cs="Arial" w:eastAsia="Arial" w:hAnsi="Arial"/>
          <w:b w:val="false"/>
          <w:bCs w:val="false"/>
          <w:i w:val="false"/>
          <w:iCs w:val="false"/>
          <w:sz w:val="20"/>
          <w:szCs w:val="20"/>
        </w:rPr>
        <w:t xml:space="preserve">C.	Handle the barrier assembly with lifting equipment at the points shown in the manufacturer instructions. Do not damage the galvanized or powder coated finish in handling.</w:t>
      </w:r>
    </w:p>
    <w:p>
      <w:pPr>
        <w:tabs>
          <w:tab w:val="left" w:pos="720"/>
        </w:tabs>
        <w:spacing w:after="100"/>
        <w:ind w:left="720" w:hanging="360"/>
      </w:pPr>
      <w:r>
        <w:rPr>
          <w:rFonts w:ascii="Arial" w:cs="Arial" w:eastAsia="Arial" w:hAnsi="Arial"/>
          <w:b w:val="false"/>
          <w:bCs w:val="false"/>
          <w:i w:val="false"/>
          <w:iCs w:val="false"/>
          <w:sz w:val="20"/>
          <w:szCs w:val="20"/>
        </w:rPr>
        <w:t xml:space="preserve">D.	Do not install products under environmental conditions outside the manufacturer stated limits.</w:t>
      </w:r>
    </w:p>
    <w:p>
      <w:pPr>
        <w:keepNext/>
        <w:tabs>
          <w:tab w:val="left" w:pos="720"/>
        </w:tabs>
        <w:spacing w:after="120" w:before="240"/>
      </w:pPr>
      <w:r>
        <w:rPr>
          <w:rFonts w:ascii="Arial" w:cs="Arial" w:eastAsia="Arial" w:hAnsi="Arial"/>
          <w:b/>
          <w:bCs/>
          <w:i w:val="false"/>
          <w:iCs w:val="false"/>
          <w:sz w:val="20"/>
          <w:szCs w:val="20"/>
        </w:rPr>
        <w:t xml:space="preserve">1.13	FIELD CONDITIONS</w:t>
      </w:r>
    </w:p>
    <w:p>
      <w:pPr>
        <w:tabs>
          <w:tab w:val="left" w:pos="720"/>
        </w:tabs>
        <w:spacing w:after="100"/>
        <w:ind w:left="720" w:hanging="360"/>
      </w:pPr>
      <w:r>
        <w:rPr>
          <w:rFonts w:ascii="Arial" w:cs="Arial" w:eastAsia="Arial" w:hAnsi="Arial"/>
          <w:b w:val="false"/>
          <w:bCs w:val="false"/>
          <w:i w:val="false"/>
          <w:iCs w:val="false"/>
          <w:sz w:val="20"/>
          <w:szCs w:val="20"/>
        </w:rPr>
        <w:t xml:space="preserve">A.	Verify the location and depth of underground utilities and services beneath the lane before excavating.</w:t>
      </w:r>
    </w:p>
    <w:p>
      <w:pPr>
        <w:tabs>
          <w:tab w:val="left" w:pos="720"/>
        </w:tabs>
        <w:spacing w:after="100"/>
        <w:ind w:left="720" w:hanging="360"/>
      </w:pPr>
      <w:r>
        <w:rPr>
          <w:rFonts w:ascii="Arial" w:cs="Arial" w:eastAsia="Arial" w:hAnsi="Arial"/>
          <w:b w:val="false"/>
          <w:bCs w:val="false"/>
          <w:i w:val="false"/>
          <w:iCs w:val="false"/>
          <w:sz w:val="20"/>
          <w:szCs w:val="20"/>
        </w:rPr>
        <w:t xml:space="preserve">B.	Do not place concrete on frozen subgrade or where subgrade conditions differ materially from those assumed in the foundation design. Notify the [Architect] [Owner] of differing conditions before proceeding.</w:t>
      </w:r>
    </w:p>
    <w:p>
      <w:pPr>
        <w:keepNext/>
        <w:tabs>
          <w:tab w:val="left" w:pos="720"/>
        </w:tabs>
        <w:spacing w:after="120" w:before="240"/>
      </w:pPr>
      <w:r>
        <w:rPr>
          <w:rFonts w:ascii="Arial" w:cs="Arial" w:eastAsia="Arial" w:hAnsi="Arial"/>
          <w:b/>
          <w:bCs/>
          <w:i w:val="false"/>
          <w:iCs w:val="false"/>
          <w:sz w:val="20"/>
          <w:szCs w:val="20"/>
        </w:rPr>
        <w:t xml:space="preserve">1.14	WARRANTY</w:t>
      </w:r>
    </w:p>
    <w:p>
      <w:pPr>
        <w:tabs>
          <w:tab w:val="left" w:pos="720"/>
        </w:tabs>
        <w:spacing w:after="100"/>
        <w:ind w:left="720" w:hanging="360"/>
      </w:pPr>
      <w:r>
        <w:rPr>
          <w:rFonts w:ascii="Arial" w:cs="Arial" w:eastAsia="Arial" w:hAnsi="Arial"/>
          <w:b w:val="false"/>
          <w:bCs w:val="false"/>
          <w:i w:val="false"/>
          <w:iCs w:val="false"/>
          <w:sz w:val="20"/>
          <w:szCs w:val="20"/>
        </w:rPr>
        <w:t xml:space="preserve">A.	Manufacturer Warranty: Manufacturer standard written warranty, issued as an executed instrument naming the Project and submitted at closeout.</w:t>
      </w:r>
    </w:p>
    <w:p>
      <w:pPr>
        <w:tabs>
          <w:tab w:val="left" w:pos="720"/>
        </w:tabs>
        <w:spacing w:after="100"/>
        <w:ind w:left="720" w:hanging="360"/>
      </w:pPr>
      <w:r>
        <w:rPr>
          <w:rFonts w:ascii="Arial" w:cs="Arial" w:eastAsia="Arial" w:hAnsi="Arial"/>
          <w:b w:val="false"/>
          <w:bCs w:val="false"/>
          <w:i w:val="false"/>
          <w:iCs w:val="false"/>
          <w:sz w:val="20"/>
          <w:szCs w:val="20"/>
        </w:rPr>
        <w:t xml:space="preserve">B.	Warranty Period and Terms: As stated on the manufacturer current warranty certificate for the product, submitted with the Product Data and executed at closeout.</w:t>
      </w:r>
    </w:p>
    <w:p>
      <w:pPr>
        <w:pStyle w:val="SpecifierNote"/>
        <w:pBdr>
          <w:top w:val="single" w:color="1F5C99" w:sz="4" w:space="4"/>
          <w:bottom w:val="single" w:color="1F5C99" w:sz="4" w:space="4"/>
          <w:left w:val="single" w:color="1F5C99" w:sz="4" w:space="4"/>
          <w:right w:val="single" w:color="1F5C99" w:sz="4" w:space="4"/>
        </w:pBdr>
        <w:shd w:fill="EEF3FA" w:val="clear"/>
        <w:spacing w:after="140" w:before="140"/>
        <w:ind w:left="360" w:right="360"/>
      </w:pPr>
      <w:r>
        <w:rPr>
          <w:rFonts w:ascii="Arial" w:cs="Arial" w:eastAsia="Arial" w:hAnsi="Arial"/>
          <w:b/>
          <w:bCs/>
          <w:i/>
          <w:iCs/>
          <w:color w:val="1F5C99"/>
          <w:sz w:val="18"/>
          <w:szCs w:val="18"/>
        </w:rPr>
        <w:t xml:space="preserve">SPECIFIER NOTE: </w:t>
      </w:r>
      <w:r>
        <w:rPr>
          <w:rFonts w:ascii="Arial" w:cs="Arial" w:eastAsia="Arial" w:hAnsi="Arial"/>
          <w:b w:val="false"/>
          <w:bCs w:val="false"/>
          <w:i/>
          <w:iCs/>
          <w:color w:val="1F5C99"/>
          <w:sz w:val="18"/>
          <w:szCs w:val="18"/>
        </w:rPr>
        <w:t xml:space="preserve">The warranty term for finish, structure and workmanship is stated on the manufacturer current warranty certificate for the product. Obtain the certificate from the manufacturer before bid. Delete this note before issue.</w:t>
      </w:r>
    </w:p>
    <w:p>
      <w:pPr>
        <w:tabs>
          <w:tab w:val="left" w:pos="720"/>
        </w:tabs>
        <w:spacing w:after="100"/>
        <w:ind w:left="720" w:hanging="360"/>
      </w:pPr>
      <w:r>
        <w:rPr>
          <w:rFonts w:ascii="Arial" w:cs="Arial" w:eastAsia="Arial" w:hAnsi="Arial"/>
          <w:b w:val="false"/>
          <w:bCs w:val="false"/>
          <w:i w:val="false"/>
          <w:iCs w:val="false"/>
          <w:sz w:val="20"/>
          <w:szCs w:val="20"/>
        </w:rPr>
        <w:t xml:space="preserve">C.	Installer Warranty: Provide Installer warranty for installation in accordance with Division 01.</w:t>
      </w:r>
    </w:p>
    <w:p>
      <w:pPr>
        <w:keepNext/>
        <w:spacing w:after="200" w:before="400"/>
      </w:pPr>
      <w:r>
        <w:rPr>
          <w:rFonts w:ascii="Arial" w:cs="Arial" w:eastAsia="Arial" w:hAnsi="Arial"/>
          <w:b/>
          <w:bCs/>
          <w:i w:val="false"/>
          <w:iCs w:val="false"/>
          <w:sz w:val="20"/>
          <w:szCs w:val="20"/>
        </w:rPr>
        <w:t xml:space="preserve">PART 2 – PRODUCTS</w:t>
      </w:r>
    </w:p>
    <w:p>
      <w:pPr>
        <w:keepNext/>
        <w:tabs>
          <w:tab w:val="left" w:pos="720"/>
        </w:tabs>
        <w:spacing w:after="120" w:before="240"/>
      </w:pPr>
      <w:r>
        <w:rPr>
          <w:rFonts w:ascii="Arial" w:cs="Arial" w:eastAsia="Arial" w:hAnsi="Arial"/>
          <w:b/>
          <w:bCs/>
          <w:i w:val="false"/>
          <w:iCs w:val="false"/>
          <w:sz w:val="20"/>
          <w:szCs w:val="20"/>
        </w:rPr>
        <w:t xml:space="preserve">2.01	MANUFACTURER</w:t>
      </w:r>
    </w:p>
    <w:p>
      <w:pPr>
        <w:tabs>
          <w:tab w:val="left" w:pos="720"/>
        </w:tabs>
        <w:spacing w:after="100"/>
        <w:ind w:left="720" w:hanging="360"/>
      </w:pPr>
      <w:r>
        <w:rPr>
          <w:rFonts w:ascii="Arial" w:cs="Arial" w:eastAsia="Arial" w:hAnsi="Arial"/>
          <w:b w:val="false"/>
          <w:bCs w:val="false"/>
          <w:i w:val="false"/>
          <w:iCs w:val="false"/>
          <w:sz w:val="20"/>
          <w:szCs w:val="20"/>
        </w:rPr>
        <w:t xml:space="preserve">A.	Basis of Design: Crash Rated Shallow Wedge Barrier, AVBD 452, manufactured by Black Security Products, LLC, 6525 Cunningham Road, Building E, Houston, Texas 77041. Telephone 512.926.0800. Email sales@blacksp.com. Web blacksp.com.</w:t>
      </w:r>
    </w:p>
    <w:p>
      <w:pPr>
        <w:tabs>
          <w:tab w:val="left" w:pos="720"/>
        </w:tabs>
        <w:spacing w:after="100"/>
        <w:ind w:left="720" w:hanging="360"/>
      </w:pPr>
      <w:r>
        <w:rPr>
          <w:rFonts w:ascii="Arial" w:cs="Arial" w:eastAsia="Arial" w:hAnsi="Arial"/>
          <w:b w:val="false"/>
          <w:bCs w:val="false"/>
          <w:i w:val="false"/>
          <w:iCs w:val="false"/>
          <w:sz w:val="20"/>
          <w:szCs w:val="20"/>
        </w:rPr>
        <w:t xml:space="preserve">B.	[Procurement data: CAGE 7MT82; UEI JCFAKK6ZPXB6; NAICS 339999.]</w:t>
      </w:r>
    </w:p>
    <w:p>
      <w:pPr>
        <w:tabs>
          <w:tab w:val="left" w:pos="720"/>
        </w:tabs>
        <w:spacing w:after="100"/>
        <w:ind w:left="720" w:hanging="360"/>
      </w:pPr>
      <w:r>
        <w:rPr>
          <w:rFonts w:ascii="Arial" w:cs="Arial" w:eastAsia="Arial" w:hAnsi="Arial"/>
          <w:b w:val="false"/>
          <w:bCs w:val="false"/>
          <w:i w:val="false"/>
          <w:iCs w:val="false"/>
          <w:sz w:val="20"/>
          <w:szCs w:val="20"/>
        </w:rPr>
        <w:t xml:space="preserve">C.	Manufacturer Standard Drawing: The manufacturer standard drawing for the configuration specified, submitted under Paragraph 1.07.B, forms part of the basis of design.</w:t>
      </w:r>
    </w:p>
    <w:p>
      <w:pPr>
        <w:tabs>
          <w:tab w:val="left" w:pos="720"/>
        </w:tabs>
        <w:spacing w:after="100"/>
        <w:ind w:left="720" w:hanging="360"/>
      </w:pPr>
      <w:r>
        <w:rPr>
          <w:rFonts w:ascii="Arial" w:cs="Arial" w:eastAsia="Arial" w:hAnsi="Arial"/>
          <w:b w:val="false"/>
          <w:bCs w:val="false"/>
          <w:i w:val="false"/>
          <w:iCs w:val="false"/>
          <w:sz w:val="20"/>
          <w:szCs w:val="20"/>
        </w:rPr>
        <w:t xml:space="preserve">D.	Substitutions: Comply with Article 1.11. A substitute shall match the members, connections and arrangement shown on the manufacturer standard drawing, or shall demonstrate equal vehicle restraint by its own full scale crash test to ASTM F2656/F2656M at the specified rating, evidenced by its own crash test certification.</w:t>
      </w:r>
    </w:p>
    <w:p>
      <w:pPr>
        <w:keepNext/>
        <w:tabs>
          <w:tab w:val="left" w:pos="720"/>
        </w:tabs>
        <w:spacing w:after="120" w:before="240"/>
      </w:pPr>
      <w:r>
        <w:rPr>
          <w:rFonts w:ascii="Arial" w:cs="Arial" w:eastAsia="Arial" w:hAnsi="Arial"/>
          <w:b/>
          <w:bCs/>
          <w:i w:val="false"/>
          <w:iCs w:val="false"/>
          <w:sz w:val="20"/>
          <w:szCs w:val="20"/>
        </w:rPr>
        <w:t xml:space="preserve">2.02	PERFORMANCE REQUIREMENTS</w:t>
      </w:r>
    </w:p>
    <w:p>
      <w:pPr>
        <w:tabs>
          <w:tab w:val="left" w:pos="720"/>
        </w:tabs>
        <w:spacing w:after="100"/>
        <w:ind w:left="720" w:hanging="360"/>
      </w:pPr>
      <w:r>
        <w:rPr>
          <w:rFonts w:ascii="Arial" w:cs="Arial" w:eastAsia="Arial" w:hAnsi="Arial"/>
          <w:b w:val="false"/>
          <w:bCs w:val="false"/>
          <w:i w:val="false"/>
          <w:iCs w:val="false"/>
          <w:sz w:val="20"/>
          <w:szCs w:val="20"/>
        </w:rPr>
        <w:t xml:space="preserve">A.	Crash Rating: The barrier shall have been full scale crash tested in accordance with ASTM F2656/F2656M-23 and shall achieve impact condition designation M50 and penetration rating P1, as scheduled in Schedule 1.</w:t>
      </w:r>
    </w:p>
    <w:p>
      <w:pPr>
        <w:tabs>
          <w:tab w:val="left" w:pos="720"/>
        </w:tabs>
        <w:spacing w:after="100"/>
        <w:ind w:left="720" w:hanging="360"/>
      </w:pPr>
      <w:r>
        <w:rPr>
          <w:rFonts w:ascii="Arial" w:cs="Arial" w:eastAsia="Arial" w:hAnsi="Arial"/>
          <w:b w:val="false"/>
          <w:bCs w:val="false"/>
          <w:i w:val="false"/>
          <w:iCs w:val="false"/>
          <w:sz w:val="20"/>
          <w:szCs w:val="20"/>
        </w:rPr>
        <w:t xml:space="preserve">B.	Listing: The barrier shall be listed on the DoD Anti Ram Vehicle Barrier List at the time of submittal. As of October 2026 the AVBD 452 is listed on the DoD Anti Ram Vehicle Barrier List; confirm current listing at submittal. Listing is not an endorsement.</w:t>
      </w:r>
    </w:p>
    <w:p>
      <w:pPr>
        <w:pStyle w:val="SpecifierNote"/>
        <w:pBdr>
          <w:top w:val="single" w:color="1F5C99" w:sz="4" w:space="4"/>
          <w:bottom w:val="single" w:color="1F5C99" w:sz="4" w:space="4"/>
          <w:left w:val="single" w:color="1F5C99" w:sz="4" w:space="4"/>
          <w:right w:val="single" w:color="1F5C99" w:sz="4" w:space="4"/>
        </w:pBdr>
        <w:shd w:fill="EEF3FA" w:val="clear"/>
        <w:spacing w:after="140" w:before="140"/>
        <w:ind w:left="360" w:right="360"/>
      </w:pPr>
      <w:r>
        <w:rPr>
          <w:rFonts w:ascii="Arial" w:cs="Arial" w:eastAsia="Arial" w:hAnsi="Arial"/>
          <w:b/>
          <w:bCs/>
          <w:i/>
          <w:iCs/>
          <w:color w:val="1F5C99"/>
          <w:sz w:val="18"/>
          <w:szCs w:val="18"/>
        </w:rPr>
        <w:t xml:space="preserve">SPECIFIER NOTE: </w:t>
      </w:r>
      <w:r>
        <w:rPr>
          <w:rFonts w:ascii="Arial" w:cs="Arial" w:eastAsia="Arial" w:hAnsi="Arial"/>
          <w:b w:val="false"/>
          <w:bCs w:val="false"/>
          <w:i/>
          <w:iCs/>
          <w:color w:val="1F5C99"/>
          <w:sz w:val="18"/>
          <w:szCs w:val="18"/>
        </w:rPr>
        <w:t xml:space="preserve">Listing status as of October 2026: the AVBD 452 is listed on the DoD Anti Ram Vehicle Barrier List. Confirm current listing at submittal. Listing confirms that the crash test report met the standard; it is not an endorsement. Delete this note before issue.</w:t>
      </w:r>
    </w:p>
    <w:p>
      <w:pPr>
        <w:tabs>
          <w:tab w:val="left" w:pos="720"/>
        </w:tabs>
        <w:spacing w:after="100"/>
        <w:ind w:left="720" w:hanging="360"/>
      </w:pPr>
      <w:r>
        <w:rPr>
          <w:rFonts w:ascii="Arial" w:cs="Arial" w:eastAsia="Arial" w:hAnsi="Arial"/>
          <w:b w:val="false"/>
          <w:bCs w:val="false"/>
          <w:i w:val="false"/>
          <w:iCs w:val="false"/>
          <w:sz w:val="20"/>
          <w:szCs w:val="20"/>
        </w:rPr>
        <w:t xml:space="preserve">C.	Engineered or simulated designs, and calculations, without a full scale crash test certification for the configuration offered are not acceptable.</w:t>
      </w:r>
    </w:p>
    <w:p>
      <w:pPr>
        <w:tabs>
          <w:tab w:val="left" w:pos="720"/>
        </w:tabs>
        <w:spacing w:after="100"/>
        <w:ind w:left="720" w:hanging="360"/>
      </w:pPr>
      <w:r>
        <w:rPr>
          <w:rFonts w:ascii="Arial" w:cs="Arial" w:eastAsia="Arial" w:hAnsi="Arial"/>
          <w:b w:val="false"/>
          <w:bCs w:val="false"/>
          <w:i w:val="false"/>
          <w:iCs w:val="false"/>
          <w:sz w:val="20"/>
          <w:szCs w:val="20"/>
        </w:rPr>
        <w:t xml:space="preserve">D.	Basis of Rating: The rating shall be supported by a crash test certification identifying the standard and edition and the configuration tested, matching the product furnished. The rating applies at the tested width stated on the crash test certification. The DoD listing covers the tested configuration only. Deviation from the tested configuration voids the rating.</w:t>
      </w:r>
    </w:p>
    <w:p>
      <w:pPr>
        <w:tabs>
          <w:tab w:val="left" w:pos="720"/>
        </w:tabs>
        <w:spacing w:after="100"/>
        <w:ind w:left="720" w:hanging="360"/>
      </w:pPr>
      <w:r>
        <w:rPr>
          <w:rFonts w:ascii="Arial" w:cs="Arial" w:eastAsia="Arial" w:hAnsi="Arial"/>
          <w:b w:val="false"/>
          <w:bCs w:val="false"/>
          <w:i w:val="false"/>
          <w:iCs w:val="false"/>
          <w:sz w:val="20"/>
          <w:szCs w:val="20"/>
        </w:rPr>
        <w:t xml:space="preserve">E.	Standoff: Locate the barrier so that the full penetration distance permitted by the P1 rating, measured from the barrier, is clear of the asset being protected.</w:t>
      </w:r>
    </w:p>
    <w:p>
      <w:pPr>
        <w:tabs>
          <w:tab w:val="left" w:pos="720"/>
        </w:tabs>
        <w:spacing w:after="100"/>
        <w:ind w:left="720" w:hanging="360"/>
      </w:pPr>
      <w:r>
        <w:rPr>
          <w:rFonts w:ascii="Arial" w:cs="Arial" w:eastAsia="Arial" w:hAnsi="Arial"/>
          <w:b w:val="false"/>
          <w:bCs w:val="false"/>
          <w:i w:val="false"/>
          <w:iCs w:val="false"/>
          <w:sz w:val="20"/>
          <w:szCs w:val="20"/>
        </w:rPr>
        <w:t xml:space="preserve">F.	Cycle Times: Normal open and close, 3 to 5 seconds. Emergency Fast Operate, under 1.5 seconds. Cycle times are the same for all drive types.</w:t>
      </w:r>
    </w:p>
    <w:p>
      <w:pPr>
        <w:tabs>
          <w:tab w:val="left" w:pos="720"/>
        </w:tabs>
        <w:spacing w:after="100"/>
        <w:ind w:left="720" w:hanging="360"/>
      </w:pPr>
      <w:r>
        <w:rPr>
          <w:rFonts w:ascii="Arial" w:cs="Arial" w:eastAsia="Arial" w:hAnsi="Arial"/>
          <w:b w:val="false"/>
          <w:bCs w:val="false"/>
          <w:i w:val="false"/>
          <w:iCs w:val="false"/>
          <w:sz w:val="20"/>
          <w:szCs w:val="20"/>
        </w:rPr>
        <w:t xml:space="preserve">G.	Rated Cycling: Up to 10 cycles per minute. Cycle design life: 1,000,000 cycles, per the manufacturer product data.</w:t>
      </w:r>
    </w:p>
    <w:p>
      <w:pPr>
        <w:tabs>
          <w:tab w:val="left" w:pos="720"/>
        </w:tabs>
        <w:spacing w:after="100"/>
        <w:ind w:left="720" w:hanging="360"/>
      </w:pPr>
      <w:r>
        <w:rPr>
          <w:rFonts w:ascii="Arial" w:cs="Arial" w:eastAsia="Arial" w:hAnsi="Arial"/>
          <w:b w:val="false"/>
          <w:bCs w:val="false"/>
          <w:i w:val="false"/>
          <w:iCs w:val="false"/>
          <w:sz w:val="20"/>
          <w:szCs w:val="20"/>
        </w:rPr>
        <w:t xml:space="preserve">H.	Operating Ambient Range: 14 °F to 140 °F. Where the site design temperature is below 14 °F, provide the slab heater option of Subparagraph 2.08.A.4.</w:t>
      </w:r>
    </w:p>
    <w:p>
      <w:pPr>
        <w:pStyle w:val="SpecifierNote"/>
        <w:pBdr>
          <w:top w:val="single" w:color="1F5C99" w:sz="4" w:space="4"/>
          <w:bottom w:val="single" w:color="1F5C99" w:sz="4" w:space="4"/>
          <w:left w:val="single" w:color="1F5C99" w:sz="4" w:space="4"/>
          <w:right w:val="single" w:color="1F5C99" w:sz="4" w:space="4"/>
        </w:pBdr>
        <w:shd w:fill="EEF3FA" w:val="clear"/>
        <w:spacing w:after="140" w:before="140"/>
        <w:ind w:left="360" w:right="360"/>
      </w:pPr>
      <w:r>
        <w:rPr>
          <w:rFonts w:ascii="Arial" w:cs="Arial" w:eastAsia="Arial" w:hAnsi="Arial"/>
          <w:b/>
          <w:bCs/>
          <w:i/>
          <w:iCs/>
          <w:color w:val="1F5C99"/>
          <w:sz w:val="18"/>
          <w:szCs w:val="18"/>
        </w:rPr>
        <w:t xml:space="preserve">SPECIFIER NOTE: </w:t>
      </w:r>
      <w:r>
        <w:rPr>
          <w:rFonts w:ascii="Arial" w:cs="Arial" w:eastAsia="Arial" w:hAnsi="Arial"/>
          <w:b w:val="false"/>
          <w:bCs w:val="false"/>
          <w:i/>
          <w:iCs/>
          <w:color w:val="1F5C99"/>
          <w:sz w:val="18"/>
          <w:szCs w:val="18"/>
        </w:rPr>
        <w:t xml:space="preserve">Confirm the site design temperature for the Project. Below 14 °F the slab heater is required by Paragraph 2.02.H; schedule it in Subparagraph 2.08.A.4. Delete this note before issue.</w:t>
      </w:r>
    </w:p>
    <w:p>
      <w:pPr>
        <w:keepNext/>
        <w:tabs>
          <w:tab w:val="left" w:pos="720"/>
        </w:tabs>
        <w:spacing w:after="120" w:before="240"/>
      </w:pPr>
      <w:r>
        <w:rPr>
          <w:rFonts w:ascii="Arial" w:cs="Arial" w:eastAsia="Arial" w:hAnsi="Arial"/>
          <w:b/>
          <w:bCs/>
          <w:i w:val="false"/>
          <w:iCs w:val="false"/>
          <w:sz w:val="20"/>
          <w:szCs w:val="20"/>
        </w:rPr>
        <w:t xml:space="preserve">2.03	SYSTEM DESCRIPTION</w:t>
      </w:r>
    </w:p>
    <w:p>
      <w:pPr>
        <w:tabs>
          <w:tab w:val="left" w:pos="720"/>
        </w:tabs>
        <w:spacing w:after="100"/>
        <w:ind w:left="720" w:hanging="360"/>
      </w:pPr>
      <w:r>
        <w:rPr>
          <w:rFonts w:ascii="Arial" w:cs="Arial" w:eastAsia="Arial" w:hAnsi="Arial"/>
          <w:b w:val="false"/>
          <w:bCs w:val="false"/>
          <w:i w:val="false"/>
          <w:iCs w:val="false"/>
          <w:sz w:val="20"/>
          <w:szCs w:val="20"/>
        </w:rPr>
        <w:t xml:space="preserve">A.	The barrier is a direct acting three finger wedge, moved by its actuator acting on the wedge. Tracks, chains and springs are not used.</w:t>
      </w:r>
    </w:p>
    <w:p>
      <w:pPr>
        <w:tabs>
          <w:tab w:val="left" w:pos="720"/>
        </w:tabs>
        <w:spacing w:after="100"/>
        <w:ind w:left="720" w:hanging="360"/>
      </w:pPr>
      <w:r>
        <w:rPr>
          <w:rFonts w:ascii="Arial" w:cs="Arial" w:eastAsia="Arial" w:hAnsi="Arial"/>
          <w:b w:val="false"/>
          <w:bCs w:val="false"/>
          <w:i w:val="false"/>
          <w:iCs w:val="false"/>
          <w:sz w:val="20"/>
          <w:szCs w:val="20"/>
        </w:rPr>
        <w:t xml:space="preserve">B.	The barrier and its drive sit within the slab depth. No pit, chamber or serviceable space is provided below the barrier.</w:t>
      </w:r>
    </w:p>
    <w:p>
      <w:pPr>
        <w:tabs>
          <w:tab w:val="left" w:pos="720"/>
        </w:tabs>
        <w:spacing w:after="100"/>
        <w:ind w:left="720" w:hanging="360"/>
      </w:pPr>
      <w:r>
        <w:rPr>
          <w:rFonts w:ascii="Arial" w:cs="Arial" w:eastAsia="Arial" w:hAnsi="Arial"/>
          <w:b w:val="false"/>
          <w:bCs w:val="false"/>
          <w:i w:val="false"/>
          <w:iCs w:val="false"/>
          <w:sz w:val="20"/>
          <w:szCs w:val="20"/>
        </w:rPr>
        <w:t xml:space="preserve">C.	Retracted Profile: Flush with the running surface. The spaces between the fingers are filled with solid concrete, so there is no void within the wedge.</w:t>
      </w:r>
    </w:p>
    <w:p>
      <w:pPr>
        <w:tabs>
          <w:tab w:val="left" w:pos="720"/>
        </w:tabs>
        <w:spacing w:after="100"/>
        <w:ind w:left="720" w:hanging="360"/>
      </w:pPr>
      <w:r>
        <w:rPr>
          <w:rFonts w:ascii="Arial" w:cs="Arial" w:eastAsia="Arial" w:hAnsi="Arial"/>
          <w:b w:val="false"/>
          <w:bCs w:val="false"/>
          <w:i w:val="false"/>
          <w:iCs w:val="false"/>
          <w:sz w:val="20"/>
          <w:szCs w:val="20"/>
        </w:rPr>
        <w:t xml:space="preserve">D.	Blocking Height: 39 inches above grade when deployed.</w:t>
      </w:r>
    </w:p>
    <w:p>
      <w:pPr>
        <w:tabs>
          <w:tab w:val="left" w:pos="720"/>
        </w:tabs>
        <w:spacing w:after="100"/>
        <w:ind w:left="720" w:hanging="360"/>
      </w:pPr>
      <w:r>
        <w:rPr>
          <w:rFonts w:ascii="Arial" w:cs="Arial" w:eastAsia="Arial" w:hAnsi="Arial"/>
          <w:b w:val="false"/>
          <w:bCs w:val="false"/>
          <w:i w:val="false"/>
          <w:iCs w:val="false"/>
          <w:sz w:val="20"/>
          <w:szCs w:val="20"/>
        </w:rPr>
        <w:t xml:space="preserve">E.	Blocking Width: [Insert] feet to the clear lane, within the manufacturer offered range of 8 to 14 feet. The crash rating applies at the tested width stated on the crash test certification. Where the specified width differs from the tested width, submit the Rating Applicability Letter required by Paragraph 1.08.B.</w:t>
      </w:r>
    </w:p>
    <w:p>
      <w:pPr>
        <w:tabs>
          <w:tab w:val="left" w:pos="720"/>
        </w:tabs>
        <w:spacing w:after="100"/>
        <w:ind w:left="720" w:hanging="360"/>
      </w:pPr>
      <w:r>
        <w:rPr>
          <w:rFonts w:ascii="Arial" w:cs="Arial" w:eastAsia="Arial" w:hAnsi="Arial"/>
          <w:b w:val="false"/>
          <w:bCs w:val="false"/>
          <w:i w:val="false"/>
          <w:iCs w:val="false"/>
          <w:sz w:val="20"/>
          <w:szCs w:val="20"/>
        </w:rPr>
        <w:t xml:space="preserve">F.	Side by Side Units: Cover openings wider than the tested width by setting units side by side. The gap between adjacent units and the arrangement shall be as shown on the manufacturer standard drawing and within the rating basis stated on the crash test certification, confirmed by the Rating Applicability Letter required by Paragraph 1.08.B.</w:t>
      </w:r>
    </w:p>
    <w:p>
      <w:pPr>
        <w:tabs>
          <w:tab w:val="left" w:pos="720"/>
        </w:tabs>
        <w:spacing w:after="100"/>
        <w:ind w:left="720" w:hanging="360"/>
      </w:pPr>
      <w:r>
        <w:rPr>
          <w:rFonts w:ascii="Arial" w:cs="Arial" w:eastAsia="Arial" w:hAnsi="Arial"/>
          <w:b w:val="false"/>
          <w:bCs w:val="false"/>
          <w:i w:val="false"/>
          <w:iCs w:val="false"/>
          <w:sz w:val="20"/>
          <w:szCs w:val="20"/>
        </w:rPr>
        <w:t xml:space="preserve">G.	Single Unit: A single unit shall not be scaled beyond its tested configuration.</w:t>
      </w:r>
    </w:p>
    <w:p>
      <w:pPr>
        <w:keepNext/>
        <w:tabs>
          <w:tab w:val="left" w:pos="720"/>
        </w:tabs>
        <w:spacing w:after="120" w:before="240"/>
      </w:pPr>
      <w:r>
        <w:rPr>
          <w:rFonts w:ascii="Arial" w:cs="Arial" w:eastAsia="Arial" w:hAnsi="Arial"/>
          <w:b/>
          <w:bCs/>
          <w:i w:val="false"/>
          <w:iCs w:val="false"/>
          <w:sz w:val="20"/>
          <w:szCs w:val="20"/>
        </w:rPr>
        <w:t xml:space="preserve">2.04	MATERIALS</w:t>
      </w:r>
    </w:p>
    <w:p>
      <w:pPr>
        <w:tabs>
          <w:tab w:val="left" w:pos="720"/>
        </w:tabs>
        <w:spacing w:after="100"/>
        <w:ind w:left="720" w:hanging="360"/>
      </w:pPr>
      <w:r>
        <w:rPr>
          <w:rFonts w:ascii="Arial" w:cs="Arial" w:eastAsia="Arial" w:hAnsi="Arial"/>
          <w:b w:val="false"/>
          <w:bCs w:val="false"/>
          <w:i w:val="false"/>
          <w:iCs w:val="false"/>
          <w:sz w:val="20"/>
          <w:szCs w:val="20"/>
        </w:rPr>
        <w:t xml:space="preserve">A.	Reinforcement: Deformed steel bars to ASTM A615/A615M, grade as stated on the sealed foundation design.</w:t>
      </w:r>
    </w:p>
    <w:p>
      <w:pPr>
        <w:tabs>
          <w:tab w:val="left" w:pos="720"/>
        </w:tabs>
        <w:spacing w:after="100"/>
        <w:ind w:left="720" w:hanging="360"/>
      </w:pPr>
      <w:r>
        <w:rPr>
          <w:rFonts w:ascii="Arial" w:cs="Arial" w:eastAsia="Arial" w:hAnsi="Arial"/>
          <w:b w:val="false"/>
          <w:bCs w:val="false"/>
          <w:i w:val="false"/>
          <w:iCs w:val="false"/>
          <w:sz w:val="20"/>
          <w:szCs w:val="20"/>
        </w:rPr>
        <w:t xml:space="preserve">B.	Concrete: Comply with ACI 318 and Section 03 30 00, with compressive strength as required by the sealed foundation design and the exposure class stated in Subparagraph 1.06.B.5.</w:t>
      </w:r>
    </w:p>
    <w:p>
      <w:pPr>
        <w:tabs>
          <w:tab w:val="left" w:pos="720"/>
        </w:tabs>
        <w:spacing w:after="100"/>
        <w:ind w:left="720" w:hanging="360"/>
      </w:pPr>
      <w:r>
        <w:rPr>
          <w:rFonts w:ascii="Arial" w:cs="Arial" w:eastAsia="Arial" w:hAnsi="Arial"/>
          <w:b w:val="false"/>
          <w:bCs w:val="false"/>
          <w:i w:val="false"/>
          <w:iCs w:val="false"/>
          <w:sz w:val="20"/>
          <w:szCs w:val="20"/>
        </w:rPr>
        <w:t xml:space="preserve">C.	Welded Assemblies: Shop welded in accordance with Paragraph 1.10.D.</w:t>
      </w:r>
    </w:p>
    <w:p>
      <w:pPr>
        <w:tabs>
          <w:tab w:val="left" w:pos="720"/>
        </w:tabs>
        <w:spacing w:after="100"/>
        <w:ind w:left="720" w:hanging="360"/>
      </w:pPr>
      <w:r>
        <w:rPr>
          <w:rFonts w:ascii="Arial" w:cs="Arial" w:eastAsia="Arial" w:hAnsi="Arial"/>
          <w:b w:val="false"/>
          <w:bCs w:val="false"/>
          <w:i w:val="false"/>
          <w:iCs w:val="false"/>
          <w:sz w:val="20"/>
          <w:szCs w:val="20"/>
        </w:rPr>
        <w:t xml:space="preserve">D.	Retroreflective Sheeting: ASTM D4956, type as specified in Paragraph 2.10.C.</w:t>
      </w:r>
    </w:p>
    <w:p>
      <w:pPr>
        <w:keepNext/>
        <w:tabs>
          <w:tab w:val="left" w:pos="720"/>
        </w:tabs>
        <w:spacing w:after="120" w:before="240"/>
      </w:pPr>
      <w:r>
        <w:rPr>
          <w:rFonts w:ascii="Arial" w:cs="Arial" w:eastAsia="Arial" w:hAnsi="Arial"/>
          <w:b/>
          <w:bCs/>
          <w:i w:val="false"/>
          <w:iCs w:val="false"/>
          <w:sz w:val="20"/>
          <w:szCs w:val="20"/>
        </w:rPr>
        <w:t xml:space="preserve">2.05	DRIVE</w:t>
      </w:r>
    </w:p>
    <w:p>
      <w:pPr>
        <w:tabs>
          <w:tab w:val="left" w:pos="720"/>
        </w:tabs>
        <w:spacing w:after="100"/>
        <w:ind w:left="720" w:hanging="360"/>
      </w:pPr>
      <w:r>
        <w:rPr>
          <w:rFonts w:ascii="Arial" w:cs="Arial" w:eastAsia="Arial" w:hAnsi="Arial"/>
          <w:b w:val="false"/>
          <w:bCs w:val="false"/>
          <w:i w:val="false"/>
          <w:iCs w:val="false"/>
          <w:sz w:val="20"/>
          <w:szCs w:val="20"/>
        </w:rPr>
        <w:t xml:space="preserve">A.	Drive Type: [Hydraulic] [Hybrid] [Electric], as scheduled in Schedule 3. The crash rating applies to the drive types stated on the crash test certification; for any other drive, submit the Rating Applicability Letter required by Paragraph 1.08.B. The cycle times of Paragraph 2.02.F apply to all drive types.</w:t>
      </w:r>
    </w:p>
    <w:p>
      <w:pPr>
        <w:tabs>
          <w:tab w:val="left" w:pos="720"/>
        </w:tabs>
        <w:spacing w:after="100"/>
        <w:ind w:left="720" w:hanging="360"/>
      </w:pPr>
      <w:r>
        <w:rPr>
          <w:rFonts w:ascii="Arial" w:cs="Arial" w:eastAsia="Arial" w:hAnsi="Arial"/>
          <w:b w:val="false"/>
          <w:bCs w:val="false"/>
          <w:i w:val="false"/>
          <w:iCs w:val="false"/>
          <w:sz w:val="20"/>
          <w:szCs w:val="20"/>
        </w:rPr>
        <w:t xml:space="preserve">B.	Hydraulic Drive: Hydraulic power unit driving the wedge actuator, with braking. Maximum operating pressure 725 psi (50 bar). Motor rating and speed: per manufacturer data. Hydraulic fluid type, hydraulic power unit enclosure, and the maximum distance from the hydraulic power unit to the barrier: per manufacturer data, stated on the Product Data. Locate the hydraulic power unit [as shown on the Drawings] within that distance.</w:t>
      </w:r>
    </w:p>
    <w:p>
      <w:pPr>
        <w:tabs>
          <w:tab w:val="left" w:pos="720"/>
        </w:tabs>
        <w:spacing w:after="100"/>
        <w:ind w:left="720" w:hanging="360"/>
      </w:pPr>
      <w:r>
        <w:rPr>
          <w:rFonts w:ascii="Arial" w:cs="Arial" w:eastAsia="Arial" w:hAnsi="Arial"/>
          <w:b w:val="false"/>
          <w:bCs w:val="false"/>
          <w:i w:val="false"/>
          <w:iCs w:val="false"/>
          <w:sz w:val="20"/>
          <w:szCs w:val="20"/>
        </w:rPr>
        <w:t xml:space="preserve">C.	Hybrid Drive: Hydraulic actuation with minimal self contained hydraulic fluid and no hydraulic hoses on site.</w:t>
      </w:r>
    </w:p>
    <w:p>
      <w:pPr>
        <w:tabs>
          <w:tab w:val="left" w:pos="720"/>
        </w:tabs>
        <w:spacing w:after="100"/>
        <w:ind w:left="720" w:hanging="360"/>
      </w:pPr>
      <w:r>
        <w:rPr>
          <w:rFonts w:ascii="Arial" w:cs="Arial" w:eastAsia="Arial" w:hAnsi="Arial"/>
          <w:b w:val="false"/>
          <w:bCs w:val="false"/>
          <w:i w:val="false"/>
          <w:iCs w:val="false"/>
          <w:sz w:val="20"/>
          <w:szCs w:val="20"/>
        </w:rPr>
        <w:t xml:space="preserve">D.	Electric Drive: Electric cylinder comprising servo motor with brake, gear reducer and ball screw. Servo motor rating, speed and ingress protection: per manufacturer data. No hydraulic fluid on site.</w:t>
      </w:r>
    </w:p>
    <w:p>
      <w:pPr>
        <w:tabs>
          <w:tab w:val="left" w:pos="720"/>
        </w:tabs>
        <w:spacing w:after="100"/>
        <w:ind w:left="720" w:hanging="360"/>
      </w:pPr>
      <w:r>
        <w:rPr>
          <w:rFonts w:ascii="Arial" w:cs="Arial" w:eastAsia="Arial" w:hAnsi="Arial"/>
          <w:b w:val="false"/>
          <w:bCs w:val="false"/>
          <w:i w:val="false"/>
          <w:iCs w:val="false"/>
          <w:sz w:val="20"/>
          <w:szCs w:val="20"/>
        </w:rPr>
        <w:t xml:space="preserve">E.	Power Supply: Per manufacturer data for the drive scheduled, stated on the Electrical Data submittal as voltage, phase, frequency, full load current and inrush current.</w:t>
      </w:r>
    </w:p>
    <w:p>
      <w:pPr>
        <w:pStyle w:val="SpecifierNote"/>
        <w:pBdr>
          <w:top w:val="single" w:color="1F5C99" w:sz="4" w:space="4"/>
          <w:bottom w:val="single" w:color="1F5C99" w:sz="4" w:space="4"/>
          <w:left w:val="single" w:color="1F5C99" w:sz="4" w:space="4"/>
          <w:right w:val="single" w:color="1F5C99" w:sz="4" w:space="4"/>
        </w:pBdr>
        <w:shd w:fill="EEF3FA" w:val="clear"/>
        <w:spacing w:after="140" w:before="140"/>
        <w:ind w:left="360" w:right="360"/>
      </w:pPr>
      <w:r>
        <w:rPr>
          <w:rFonts w:ascii="Arial" w:cs="Arial" w:eastAsia="Arial" w:hAnsi="Arial"/>
          <w:b/>
          <w:bCs/>
          <w:i/>
          <w:iCs/>
          <w:color w:val="1F5C99"/>
          <w:sz w:val="18"/>
          <w:szCs w:val="18"/>
        </w:rPr>
        <w:t xml:space="preserve">SPECIFIER NOTE: </w:t>
      </w:r>
      <w:r>
        <w:rPr>
          <w:rFonts w:ascii="Arial" w:cs="Arial" w:eastAsia="Arial" w:hAnsi="Arial"/>
          <w:b w:val="false"/>
          <w:bCs w:val="false"/>
          <w:i/>
          <w:iCs/>
          <w:color w:val="1F5C99"/>
          <w:sz w:val="18"/>
          <w:szCs w:val="18"/>
        </w:rPr>
        <w:t xml:space="preserve">Power characteristics differ by drive. Before bid, obtain from the manufacturer the voltage, phase, frequency, full load current and inrush current for the scheduled drive and show them on the electrical Drawings so that Division 26 can price the supply. Where the site restricts hydraulic fluid, schedule the hybrid or electric drive. Delete this note before issue.</w:t>
      </w:r>
    </w:p>
    <w:p>
      <w:pPr>
        <w:keepNext/>
        <w:tabs>
          <w:tab w:val="left" w:pos="720"/>
        </w:tabs>
        <w:spacing w:after="120" w:before="240"/>
      </w:pPr>
      <w:r>
        <w:rPr>
          <w:rFonts w:ascii="Arial" w:cs="Arial" w:eastAsia="Arial" w:hAnsi="Arial"/>
          <w:b/>
          <w:bCs/>
          <w:i w:val="false"/>
          <w:iCs w:val="false"/>
          <w:sz w:val="20"/>
          <w:szCs w:val="20"/>
        </w:rPr>
        <w:t xml:space="preserve">2.06	CONTROL AND OPERATION</w:t>
      </w:r>
    </w:p>
    <w:p>
      <w:pPr>
        <w:tabs>
          <w:tab w:val="left" w:pos="720"/>
        </w:tabs>
        <w:spacing w:after="100"/>
        <w:ind w:left="720" w:hanging="360"/>
      </w:pPr>
      <w:r>
        <w:rPr>
          <w:rFonts w:ascii="Arial" w:cs="Arial" w:eastAsia="Arial" w:hAnsi="Arial"/>
          <w:b w:val="false"/>
          <w:bCs w:val="false"/>
          <w:i w:val="false"/>
          <w:iCs w:val="false"/>
          <w:sz w:val="20"/>
          <w:szCs w:val="20"/>
        </w:rPr>
        <w:t xml:space="preserve">A.	The barrier shall be delivered with its own control panel and enclosure. Controller functions shall conform to Schedule 5. Enclosure rating: per manufacturer data, stated on the Product Data as an enclosure type per NEMA 250.</w:t>
      </w:r>
    </w:p>
    <w:p>
      <w:pPr>
        <w:tabs>
          <w:tab w:val="left" w:pos="720"/>
        </w:tabs>
        <w:spacing w:after="100"/>
        <w:ind w:left="720" w:hanging="360"/>
      </w:pPr>
      <w:r>
        <w:rPr>
          <w:rFonts w:ascii="Arial" w:cs="Arial" w:eastAsia="Arial" w:hAnsi="Arial"/>
          <w:b w:val="false"/>
          <w:bCs w:val="false"/>
          <w:i w:val="false"/>
          <w:iCs w:val="false"/>
          <w:sz w:val="20"/>
          <w:szCs w:val="20"/>
        </w:rPr>
        <w:t xml:space="preserve">B.	Control System: PLC, relays and timers. State on the Electrical Data submittal whether the control panel is listed to UL 508A, and its short circuit current rating. Where the authority having jurisdiction requires a listed panel and the panel furnished is not listed, provide a field evaluation acceptable to the authority having jurisdiction.</w:t>
      </w:r>
    </w:p>
    <w:p>
      <w:pPr>
        <w:tabs>
          <w:tab w:val="left" w:pos="720"/>
        </w:tabs>
        <w:spacing w:after="100"/>
        <w:ind w:left="720" w:hanging="360"/>
      </w:pPr>
      <w:r>
        <w:rPr>
          <w:rFonts w:ascii="Arial" w:cs="Arial" w:eastAsia="Arial" w:hAnsi="Arial"/>
          <w:b w:val="false"/>
          <w:bCs w:val="false"/>
          <w:i w:val="false"/>
          <w:iCs w:val="false"/>
          <w:sz w:val="20"/>
          <w:szCs w:val="20"/>
        </w:rPr>
        <w:t xml:space="preserve">C.	Operation: Momentary switch, raise or lower. The barrier shall hold the selected position on loss of command.</w:t>
      </w:r>
    </w:p>
    <w:p>
      <w:pPr>
        <w:tabs>
          <w:tab w:val="left" w:pos="720"/>
        </w:tabs>
        <w:spacing w:after="100"/>
        <w:ind w:left="720" w:hanging="360"/>
      </w:pPr>
      <w:r>
        <w:rPr>
          <w:rFonts w:ascii="Arial" w:cs="Arial" w:eastAsia="Arial" w:hAnsi="Arial"/>
          <w:b w:val="false"/>
          <w:bCs w:val="false"/>
          <w:i w:val="false"/>
          <w:iCs w:val="false"/>
          <w:sz w:val="20"/>
          <w:szCs w:val="20"/>
        </w:rPr>
        <w:t xml:space="preserve">D.	Loss of Power and Manual Operation: Behavior of the barrier on loss of power, and the method of manual operation, shall be as stated in the manufacturer data, shown on the Shop Drawings and demonstrated at commissioning. [Where battery backup is scheduled, the barrier shall remain operable through a power outage, in accordance with Subparagraph 2.08.A.3.]</w:t>
      </w:r>
    </w:p>
    <w:p>
      <w:pPr>
        <w:tabs>
          <w:tab w:val="left" w:pos="720"/>
        </w:tabs>
        <w:spacing w:after="100"/>
        <w:ind w:left="720" w:hanging="360"/>
      </w:pPr>
      <w:r>
        <w:rPr>
          <w:rFonts w:ascii="Arial" w:cs="Arial" w:eastAsia="Arial" w:hAnsi="Arial"/>
          <w:b w:val="false"/>
          <w:bCs w:val="false"/>
          <w:i w:val="false"/>
          <w:iCs w:val="false"/>
          <w:sz w:val="20"/>
          <w:szCs w:val="20"/>
        </w:rPr>
        <w:t xml:space="preserve">E.	Operating Modes: As scheduled in Schedule 4, the same for all drive types.</w:t>
      </w:r>
    </w:p>
    <w:p>
      <w:pPr>
        <w:tabs>
          <w:tab w:val="left" w:pos="720"/>
        </w:tabs>
        <w:spacing w:after="100"/>
        <w:ind w:left="720" w:hanging="360"/>
      </w:pPr>
      <w:r>
        <w:rPr>
          <w:rFonts w:ascii="Arial" w:cs="Arial" w:eastAsia="Arial" w:hAnsi="Arial"/>
          <w:b w:val="false"/>
          <w:bCs w:val="false"/>
          <w:i w:val="false"/>
          <w:iCs w:val="false"/>
          <w:sz w:val="20"/>
          <w:szCs w:val="20"/>
        </w:rPr>
        <w:t xml:space="preserve">F.	Emergency Fast Operate: Moves the barrier to the secure position within the time stated in Paragraph 2.02.F, sounds a continuous audible alarm and illuminates a visual alarm until the system is reset by key.</w:t>
      </w:r>
    </w:p>
    <w:p>
      <w:pPr>
        <w:tabs>
          <w:tab w:val="left" w:pos="720"/>
        </w:tabs>
        <w:spacing w:after="100"/>
        <w:ind w:left="720" w:hanging="360"/>
      </w:pPr>
      <w:r>
        <w:rPr>
          <w:rFonts w:ascii="Arial" w:cs="Arial" w:eastAsia="Arial" w:hAnsi="Arial"/>
          <w:b w:val="false"/>
          <w:bCs w:val="false"/>
          <w:i w:val="false"/>
          <w:iCs w:val="false"/>
          <w:sz w:val="20"/>
          <w:szCs w:val="20"/>
        </w:rPr>
        <w:t xml:space="preserve">G.	[Emergency Fast Operate shall override the safety loop hold open.] [The safety loop shall hold the barrier open during Emergency Fast Operate.]</w:t>
      </w:r>
    </w:p>
    <w:p>
      <w:pPr>
        <w:pStyle w:val="SpecifierNote"/>
        <w:pBdr>
          <w:top w:val="single" w:color="1F5C99" w:sz="4" w:space="4"/>
          <w:bottom w:val="single" w:color="1F5C99" w:sz="4" w:space="4"/>
          <w:left w:val="single" w:color="1F5C99" w:sz="4" w:space="4"/>
          <w:right w:val="single" w:color="1F5C99" w:sz="4" w:space="4"/>
        </w:pBdr>
        <w:shd w:fill="EEF3FA" w:val="clear"/>
        <w:spacing w:after="140" w:before="140"/>
        <w:ind w:left="360" w:right="360"/>
      </w:pPr>
      <w:r>
        <w:rPr>
          <w:rFonts w:ascii="Arial" w:cs="Arial" w:eastAsia="Arial" w:hAnsi="Arial"/>
          <w:b/>
          <w:bCs/>
          <w:i/>
          <w:iCs/>
          <w:color w:val="1F5C99"/>
          <w:sz w:val="18"/>
          <w:szCs w:val="18"/>
        </w:rPr>
        <w:t xml:space="preserve">SPECIFIER NOTE: </w:t>
      </w:r>
      <w:r>
        <w:rPr>
          <w:rFonts w:ascii="Arial" w:cs="Arial" w:eastAsia="Arial" w:hAnsi="Arial"/>
          <w:b w:val="false"/>
          <w:bCs w:val="false"/>
          <w:i/>
          <w:iCs/>
          <w:color w:val="1F5C99"/>
          <w:sz w:val="18"/>
          <w:szCs w:val="18"/>
        </w:rPr>
        <w:t xml:space="preserve">The interaction of Emergency Fast Operate with the safety loop is a key control decision on an active barrier. If the Owner security policy requires the safety loop to hold the barrier open during Emergency Fast Operate, revise Paragraph 2.06.G, record the choice in Schedule 2 and obtain the matching control logic from the manufacturer before bid. Select the behavior on loss of power with the Owner and record it in Schedule 2. Delete this note before issue.</w:t>
      </w:r>
    </w:p>
    <w:p>
      <w:pPr>
        <w:tabs>
          <w:tab w:val="left" w:pos="720"/>
        </w:tabs>
        <w:spacing w:after="100"/>
        <w:ind w:left="720" w:hanging="360"/>
      </w:pPr>
      <w:r>
        <w:rPr>
          <w:rFonts w:ascii="Arial" w:cs="Arial" w:eastAsia="Arial" w:hAnsi="Arial"/>
          <w:b w:val="false"/>
          <w:bCs w:val="false"/>
          <w:i w:val="false"/>
          <w:iCs w:val="false"/>
          <w:sz w:val="20"/>
          <w:szCs w:val="20"/>
        </w:rPr>
        <w:t xml:space="preserve">H.	Status and Monitoring: Indicator lights for barrier position and real time position monitoring from the control panel. Run up timer: adjustable, per manufacturer data.</w:t>
      </w:r>
    </w:p>
    <w:p>
      <w:pPr>
        <w:tabs>
          <w:tab w:val="left" w:pos="720"/>
        </w:tabs>
        <w:spacing w:after="100"/>
        <w:ind w:left="720" w:hanging="360"/>
      </w:pPr>
      <w:r>
        <w:rPr>
          <w:rFonts w:ascii="Arial" w:cs="Arial" w:eastAsia="Arial" w:hAnsi="Arial"/>
          <w:b w:val="false"/>
          <w:bCs w:val="false"/>
          <w:i w:val="false"/>
          <w:iCs w:val="false"/>
          <w:sz w:val="20"/>
          <w:szCs w:val="20"/>
        </w:rPr>
        <w:t xml:space="preserve">I.	Integration: The barrier shall integrate with access control, detection and signaling equipment by others. Identify interfaces on the Shop Drawings.</w:t>
      </w:r>
    </w:p>
    <w:p>
      <w:pPr>
        <w:keepNext/>
        <w:tabs>
          <w:tab w:val="left" w:pos="720"/>
        </w:tabs>
        <w:spacing w:after="120" w:before="240"/>
      </w:pPr>
      <w:r>
        <w:rPr>
          <w:rFonts w:ascii="Arial" w:cs="Arial" w:eastAsia="Arial" w:hAnsi="Arial"/>
          <w:b/>
          <w:bCs/>
          <w:i w:val="false"/>
          <w:iCs w:val="false"/>
          <w:sz w:val="20"/>
          <w:szCs w:val="20"/>
        </w:rPr>
        <w:t xml:space="preserve">2.07	SAFETY DEVICES AND SIGNAGE</w:t>
      </w:r>
    </w:p>
    <w:p>
      <w:pPr>
        <w:tabs>
          <w:tab w:val="left" w:pos="720"/>
        </w:tabs>
        <w:spacing w:after="100"/>
        <w:ind w:left="720" w:hanging="360"/>
      </w:pPr>
      <w:r>
        <w:rPr>
          <w:rFonts w:ascii="Arial" w:cs="Arial" w:eastAsia="Arial" w:hAnsi="Arial"/>
          <w:b w:val="false"/>
          <w:bCs w:val="false"/>
          <w:i w:val="false"/>
          <w:iCs w:val="false"/>
          <w:sz w:val="20"/>
          <w:szCs w:val="20"/>
        </w:rPr>
        <w:t xml:space="preserve">A.	Provide the safety devices shown on the manufacturer standard drawing for the configuration specified, including:</w:t>
      </w:r>
    </w:p>
    <w:p>
      <w:pPr>
        <w:tabs>
          <w:tab w:val="left" w:pos="1440"/>
        </w:tabs>
        <w:spacing w:after="100"/>
        <w:ind w:left="1440" w:hanging="360"/>
      </w:pPr>
      <w:r>
        <w:rPr>
          <w:rFonts w:ascii="Arial" w:cs="Arial" w:eastAsia="Arial" w:hAnsi="Arial"/>
          <w:b w:val="false"/>
          <w:bCs w:val="false"/>
          <w:i w:val="false"/>
          <w:iCs w:val="false"/>
          <w:sz w:val="20"/>
          <w:szCs w:val="20"/>
        </w:rPr>
        <w:t xml:space="preserve">1.	Vehicle detection loops and loop detector: [Arming loop] [Safety loop] [Exit loop] as shown on the Shop Drawings. The safety loop senses a vehicle or obstruction over the barrier and holds the barrier open until the lane is clear, except as stated in Paragraph 2.06.G.</w:t>
      </w:r>
    </w:p>
    <w:p>
      <w:pPr>
        <w:tabs>
          <w:tab w:val="left" w:pos="1440"/>
        </w:tabs>
        <w:spacing w:after="100"/>
        <w:ind w:left="1440" w:hanging="360"/>
      </w:pPr>
      <w:r>
        <w:rPr>
          <w:rFonts w:ascii="Arial" w:cs="Arial" w:eastAsia="Arial" w:hAnsi="Arial"/>
          <w:b w:val="false"/>
          <w:bCs w:val="false"/>
          <w:i w:val="false"/>
          <w:iCs w:val="false"/>
          <w:sz w:val="20"/>
          <w:szCs w:val="20"/>
        </w:rPr>
        <w:t xml:space="preserve">2.	Warning Lights: [Insert] type and color, driven from barrier position, mounted at [Insert].</w:t>
      </w:r>
    </w:p>
    <w:p>
      <w:pPr>
        <w:tabs>
          <w:tab w:val="left" w:pos="1440"/>
        </w:tabs>
        <w:spacing w:after="100"/>
        <w:ind w:left="1440" w:hanging="360"/>
      </w:pPr>
      <w:r>
        <w:rPr>
          <w:rFonts w:ascii="Arial" w:cs="Arial" w:eastAsia="Arial" w:hAnsi="Arial"/>
          <w:b w:val="false"/>
          <w:bCs w:val="false"/>
          <w:i w:val="false"/>
          <w:iCs w:val="false"/>
          <w:sz w:val="20"/>
          <w:szCs w:val="20"/>
        </w:rPr>
        <w:t xml:space="preserve">3.	Audible and visual alarms on emergency operation, continuing until keyed reset.</w:t>
      </w:r>
    </w:p>
    <w:p>
      <w:pPr>
        <w:tabs>
          <w:tab w:val="left" w:pos="720"/>
        </w:tabs>
        <w:spacing w:after="100"/>
        <w:ind w:left="720" w:hanging="360"/>
      </w:pPr>
      <w:r>
        <w:rPr>
          <w:rFonts w:ascii="Arial" w:cs="Arial" w:eastAsia="Arial" w:hAnsi="Arial"/>
          <w:b w:val="false"/>
          <w:bCs w:val="false"/>
          <w:i w:val="false"/>
          <w:iCs w:val="false"/>
          <w:sz w:val="20"/>
          <w:szCs w:val="20"/>
        </w:rPr>
        <w:t xml:space="preserve">B.	Signage: Provide signage per MUTCD at the approach, and pedestrian warning signage at the barrier, coordinated with Division 10.</w:t>
      </w:r>
    </w:p>
    <w:p>
      <w:pPr>
        <w:tabs>
          <w:tab w:val="left" w:pos="720"/>
        </w:tabs>
        <w:spacing w:after="100"/>
        <w:ind w:left="720" w:hanging="360"/>
      </w:pPr>
      <w:r>
        <w:rPr>
          <w:rFonts w:ascii="Arial" w:cs="Arial" w:eastAsia="Arial" w:hAnsi="Arial"/>
          <w:b w:val="false"/>
          <w:bCs w:val="false"/>
          <w:i w:val="false"/>
          <w:iCs w:val="false"/>
          <w:sz w:val="20"/>
          <w:szCs w:val="20"/>
        </w:rPr>
        <w:t xml:space="preserve">C.	Locate safety devices and signage as shown on the approved Shop Drawings.</w:t>
      </w:r>
    </w:p>
    <w:p>
      <w:pPr>
        <w:keepNext/>
        <w:tabs>
          <w:tab w:val="left" w:pos="720"/>
        </w:tabs>
        <w:spacing w:after="120" w:before="240"/>
      </w:pPr>
      <w:r>
        <w:rPr>
          <w:rFonts w:ascii="Arial" w:cs="Arial" w:eastAsia="Arial" w:hAnsi="Arial"/>
          <w:b/>
          <w:bCs/>
          <w:i w:val="false"/>
          <w:iCs w:val="false"/>
          <w:sz w:val="20"/>
          <w:szCs w:val="20"/>
        </w:rPr>
        <w:t xml:space="preserve">2.08	OPTIONS</w:t>
      </w:r>
    </w:p>
    <w:p>
      <w:pPr>
        <w:tabs>
          <w:tab w:val="left" w:pos="720"/>
        </w:tabs>
        <w:spacing w:after="100"/>
        <w:ind w:left="720" w:hanging="360"/>
      </w:pPr>
      <w:r>
        <w:rPr>
          <w:rFonts w:ascii="Arial" w:cs="Arial" w:eastAsia="Arial" w:hAnsi="Arial"/>
          <w:b w:val="false"/>
          <w:bCs w:val="false"/>
          <w:i w:val="false"/>
          <w:iCs w:val="false"/>
          <w:sz w:val="20"/>
          <w:szCs w:val="20"/>
        </w:rPr>
        <w:t xml:space="preserve">A.	Provide the following options where scheduled. The options do not alter the crash rating or the barrier assembly.</w:t>
      </w:r>
    </w:p>
    <w:p>
      <w:pPr>
        <w:tabs>
          <w:tab w:val="left" w:pos="1440"/>
        </w:tabs>
        <w:spacing w:after="100"/>
        <w:ind w:left="1440" w:hanging="360"/>
      </w:pPr>
      <w:r>
        <w:rPr>
          <w:rFonts w:ascii="Arial" w:cs="Arial" w:eastAsia="Arial" w:hAnsi="Arial"/>
          <w:b w:val="false"/>
          <w:bCs w:val="false"/>
          <w:i w:val="false"/>
          <w:iCs w:val="false"/>
          <w:sz w:val="20"/>
          <w:szCs w:val="20"/>
        </w:rPr>
        <w:t xml:space="preserve">1.	[Master control panel, for centralized control of one or more barriers at an entry point.]</w:t>
      </w:r>
    </w:p>
    <w:p>
      <w:pPr>
        <w:tabs>
          <w:tab w:val="left" w:pos="1440"/>
        </w:tabs>
        <w:spacing w:after="100"/>
        <w:ind w:left="1440" w:hanging="360"/>
      </w:pPr>
      <w:r>
        <w:rPr>
          <w:rFonts w:ascii="Arial" w:cs="Arial" w:eastAsia="Arial" w:hAnsi="Arial"/>
          <w:b w:val="false"/>
          <w:bCs w:val="false"/>
          <w:i w:val="false"/>
          <w:iCs w:val="false"/>
          <w:sz w:val="20"/>
          <w:szCs w:val="20"/>
        </w:rPr>
        <w:t xml:space="preserve">2.	[Remote control panel, for operation from a guard position away from the lane.]</w:t>
      </w:r>
    </w:p>
    <w:p>
      <w:pPr>
        <w:tabs>
          <w:tab w:val="left" w:pos="1440"/>
        </w:tabs>
        <w:spacing w:after="100"/>
        <w:ind w:left="1440" w:hanging="360"/>
      </w:pPr>
      <w:r>
        <w:rPr>
          <w:rFonts w:ascii="Arial" w:cs="Arial" w:eastAsia="Arial" w:hAnsi="Arial"/>
          <w:b w:val="false"/>
          <w:bCs w:val="false"/>
          <w:i w:val="false"/>
          <w:iCs w:val="false"/>
          <w:sz w:val="20"/>
          <w:szCs w:val="20"/>
        </w:rPr>
        <w:t xml:space="preserve">3.	[Battery backup, keeping the barrier operable through a power outage. Capacity per manufacturer data.]</w:t>
      </w:r>
    </w:p>
    <w:p>
      <w:pPr>
        <w:tabs>
          <w:tab w:val="left" w:pos="1440"/>
        </w:tabs>
        <w:spacing w:after="100"/>
        <w:ind w:left="1440" w:hanging="360"/>
      </w:pPr>
      <w:r>
        <w:rPr>
          <w:rFonts w:ascii="Arial" w:cs="Arial" w:eastAsia="Arial" w:hAnsi="Arial"/>
          <w:b w:val="false"/>
          <w:bCs w:val="false"/>
          <w:i w:val="false"/>
          <w:iCs w:val="false"/>
          <w:sz w:val="20"/>
          <w:szCs w:val="20"/>
        </w:rPr>
        <w:t xml:space="preserve">4.	[Slab heater, sized to the slab, for operation in extreme cold.]</w:t>
      </w:r>
    </w:p>
    <w:p>
      <w:pPr>
        <w:tabs>
          <w:tab w:val="left" w:pos="1440"/>
        </w:tabs>
        <w:spacing w:after="100"/>
        <w:ind w:left="1440" w:hanging="360"/>
      </w:pPr>
      <w:r>
        <w:rPr>
          <w:rFonts w:ascii="Arial" w:cs="Arial" w:eastAsia="Arial" w:hAnsi="Arial"/>
          <w:b w:val="false"/>
          <w:bCs w:val="false"/>
          <w:i w:val="false"/>
          <w:iCs w:val="false"/>
          <w:sz w:val="20"/>
          <w:szCs w:val="20"/>
        </w:rPr>
        <w:t xml:space="preserve">5.	[Traffic signals, amber, or green and red, driven from barrier position.]</w:t>
      </w:r>
    </w:p>
    <w:p>
      <w:pPr>
        <w:tabs>
          <w:tab w:val="left" w:pos="1440"/>
        </w:tabs>
        <w:spacing w:after="100"/>
        <w:ind w:left="1440" w:hanging="360"/>
      </w:pPr>
      <w:r>
        <w:rPr>
          <w:rFonts w:ascii="Arial" w:cs="Arial" w:eastAsia="Arial" w:hAnsi="Arial"/>
          <w:b w:val="false"/>
          <w:bCs w:val="false"/>
          <w:i w:val="false"/>
          <w:iCs w:val="false"/>
          <w:sz w:val="20"/>
          <w:szCs w:val="20"/>
        </w:rPr>
        <w:t xml:space="preserve">6.	[Drop arm integration, pairing the wedge with a manufacturer crash rated drop arm barrier specified in Section 34 75 13.13 – Crash Rated Drop Arm Barriers and furnished with its own ASTM F2656/F2656M crash test certification, or with security devices by others.]</w:t>
      </w:r>
    </w:p>
    <w:p>
      <w:pPr>
        <w:keepNext/>
        <w:tabs>
          <w:tab w:val="left" w:pos="720"/>
        </w:tabs>
        <w:spacing w:after="120" w:before="240"/>
      </w:pPr>
      <w:r>
        <w:rPr>
          <w:rFonts w:ascii="Arial" w:cs="Arial" w:eastAsia="Arial" w:hAnsi="Arial"/>
          <w:b/>
          <w:bCs/>
          <w:i w:val="false"/>
          <w:iCs w:val="false"/>
          <w:sz w:val="20"/>
          <w:szCs w:val="20"/>
        </w:rPr>
        <w:t xml:space="preserve">2.09	FOUNDATION</w:t>
      </w:r>
    </w:p>
    <w:p>
      <w:pPr>
        <w:tabs>
          <w:tab w:val="left" w:pos="720"/>
        </w:tabs>
        <w:spacing w:after="100"/>
        <w:ind w:left="720" w:hanging="360"/>
      </w:pPr>
      <w:r>
        <w:rPr>
          <w:rFonts w:ascii="Arial" w:cs="Arial" w:eastAsia="Arial" w:hAnsi="Arial"/>
          <w:b w:val="false"/>
          <w:bCs w:val="false"/>
          <w:i w:val="false"/>
          <w:iCs w:val="false"/>
          <w:sz w:val="20"/>
          <w:szCs w:val="20"/>
        </w:rPr>
        <w:t xml:space="preserve">A.	The barrier shall be installed in a shallow reinforced concrete slab, engineered per project for the site subgrade and the traffic using the lane, and shown on the sealed foundation design submitted under Article 1.06, sealed by a professional engineer licensed in the jurisdiction of the Project.</w:t>
      </w:r>
    </w:p>
    <w:p>
      <w:pPr>
        <w:tabs>
          <w:tab w:val="left" w:pos="720"/>
        </w:tabs>
        <w:spacing w:after="100"/>
        <w:ind w:left="720" w:hanging="360"/>
      </w:pPr>
      <w:r>
        <w:rPr>
          <w:rFonts w:ascii="Arial" w:cs="Arial" w:eastAsia="Arial" w:hAnsi="Arial"/>
          <w:b w:val="false"/>
          <w:bCs w:val="false"/>
          <w:i w:val="false"/>
          <w:iCs w:val="false"/>
          <w:sz w:val="20"/>
          <w:szCs w:val="20"/>
        </w:rPr>
        <w:t xml:space="preserve">B.	The foundation shall not be reduced below that required for the tested configuration.</w:t>
      </w:r>
    </w:p>
    <w:p>
      <w:pPr>
        <w:keepNext/>
        <w:tabs>
          <w:tab w:val="left" w:pos="720"/>
        </w:tabs>
        <w:spacing w:after="120" w:before="240"/>
      </w:pPr>
      <w:r>
        <w:rPr>
          <w:rFonts w:ascii="Arial" w:cs="Arial" w:eastAsia="Arial" w:hAnsi="Arial"/>
          <w:b/>
          <w:bCs/>
          <w:i w:val="false"/>
          <w:iCs w:val="false"/>
          <w:sz w:val="20"/>
          <w:szCs w:val="20"/>
        </w:rPr>
        <w:t xml:space="preserve">2.10	FINISH AND MARKINGS</w:t>
      </w:r>
    </w:p>
    <w:p>
      <w:pPr>
        <w:tabs>
          <w:tab w:val="left" w:pos="720"/>
        </w:tabs>
        <w:spacing w:after="100"/>
        <w:ind w:left="720" w:hanging="360"/>
      </w:pPr>
      <w:r>
        <w:rPr>
          <w:rFonts w:ascii="Arial" w:cs="Arial" w:eastAsia="Arial" w:hAnsi="Arial"/>
          <w:b w:val="false"/>
          <w:bCs w:val="false"/>
          <w:i w:val="false"/>
          <w:iCs w:val="false"/>
          <w:sz w:val="20"/>
          <w:szCs w:val="20"/>
        </w:rPr>
        <w:t xml:space="preserve">A.	Standard Finish: Steel components hot dip galvanized in accordance with ASTM A123/A123M, with powder coated fingers.</w:t>
      </w:r>
    </w:p>
    <w:p>
      <w:pPr>
        <w:tabs>
          <w:tab w:val="left" w:pos="720"/>
        </w:tabs>
        <w:spacing w:after="100"/>
        <w:ind w:left="720" w:hanging="360"/>
      </w:pPr>
      <w:r>
        <w:rPr>
          <w:rFonts w:ascii="Arial" w:cs="Arial" w:eastAsia="Arial" w:hAnsi="Arial"/>
          <w:b w:val="false"/>
          <w:bCs w:val="false"/>
          <w:i w:val="false"/>
          <w:iCs w:val="false"/>
          <w:sz w:val="20"/>
          <w:szCs w:val="20"/>
        </w:rPr>
        <w:t xml:space="preserve">B.	Finger Color: [RAL 9005 jet black] [RAL 3020 traffic red] [RAL 7021 black grey] [RAL 1021 colza yellow].</w:t>
      </w:r>
    </w:p>
    <w:p>
      <w:pPr>
        <w:tabs>
          <w:tab w:val="left" w:pos="720"/>
        </w:tabs>
        <w:spacing w:after="100"/>
        <w:ind w:left="720" w:hanging="360"/>
      </w:pPr>
      <w:r>
        <w:rPr>
          <w:rFonts w:ascii="Arial" w:cs="Arial" w:eastAsia="Arial" w:hAnsi="Arial"/>
          <w:b w:val="false"/>
          <w:bCs w:val="false"/>
          <w:i w:val="false"/>
          <w:iCs w:val="false"/>
          <w:sz w:val="20"/>
          <w:szCs w:val="20"/>
        </w:rPr>
        <w:t xml:space="preserve">C.	Markings: Retroreflective sheeting per ASTM D4956 Type [Insert], in a [red and white] [Insert] pattern per MUTCD, on the deployed face, so that an approaching driver reads the deployed state at distance.</w:t>
      </w:r>
    </w:p>
    <w:p>
      <w:pPr>
        <w:keepNext/>
        <w:tabs>
          <w:tab w:val="left" w:pos="720"/>
        </w:tabs>
        <w:spacing w:after="120" w:before="240"/>
      </w:pPr>
      <w:r>
        <w:rPr>
          <w:rFonts w:ascii="Arial" w:cs="Arial" w:eastAsia="Arial" w:hAnsi="Arial"/>
          <w:b/>
          <w:bCs/>
          <w:i w:val="false"/>
          <w:iCs w:val="false"/>
          <w:sz w:val="20"/>
          <w:szCs w:val="20"/>
        </w:rPr>
        <w:t xml:space="preserve">2.11	SOURCE QUALITY CONTROL</w:t>
      </w:r>
    </w:p>
    <w:p>
      <w:pPr>
        <w:tabs>
          <w:tab w:val="left" w:pos="720"/>
        </w:tabs>
        <w:spacing w:after="100"/>
        <w:ind w:left="720" w:hanging="360"/>
      </w:pPr>
      <w:r>
        <w:rPr>
          <w:rFonts w:ascii="Arial" w:cs="Arial" w:eastAsia="Arial" w:hAnsi="Arial"/>
          <w:b w:val="false"/>
          <w:bCs w:val="false"/>
          <w:i w:val="false"/>
          <w:iCs w:val="false"/>
          <w:sz w:val="20"/>
          <w:szCs w:val="20"/>
        </w:rPr>
        <w:t xml:space="preserve">A.	Provide mill certificates, galvanizing certification and welding records with each order.</w:t>
      </w:r>
    </w:p>
    <w:p>
      <w:pPr>
        <w:keepNext/>
        <w:spacing w:after="200" w:before="400"/>
      </w:pPr>
      <w:r>
        <w:rPr>
          <w:rFonts w:ascii="Arial" w:cs="Arial" w:eastAsia="Arial" w:hAnsi="Arial"/>
          <w:b/>
          <w:bCs/>
          <w:i w:val="false"/>
          <w:iCs w:val="false"/>
          <w:sz w:val="20"/>
          <w:szCs w:val="20"/>
        </w:rPr>
        <w:t xml:space="preserve">PART 3 – EXECUTION</w:t>
      </w:r>
    </w:p>
    <w:p>
      <w:pPr>
        <w:keepNext/>
        <w:tabs>
          <w:tab w:val="left" w:pos="720"/>
        </w:tabs>
        <w:spacing w:after="120" w:before="240"/>
      </w:pPr>
      <w:r>
        <w:rPr>
          <w:rFonts w:ascii="Arial" w:cs="Arial" w:eastAsia="Arial" w:hAnsi="Arial"/>
          <w:b/>
          <w:bCs/>
          <w:i w:val="false"/>
          <w:iCs w:val="false"/>
          <w:sz w:val="20"/>
          <w:szCs w:val="20"/>
        </w:rPr>
        <w:t xml:space="preserve">3.01	EXAMINATION</w:t>
      </w:r>
    </w:p>
    <w:p>
      <w:pPr>
        <w:tabs>
          <w:tab w:val="left" w:pos="720"/>
        </w:tabs>
        <w:spacing w:after="100"/>
        <w:ind w:left="720" w:hanging="360"/>
      </w:pPr>
      <w:r>
        <w:rPr>
          <w:rFonts w:ascii="Arial" w:cs="Arial" w:eastAsia="Arial" w:hAnsi="Arial"/>
          <w:b w:val="false"/>
          <w:bCs w:val="false"/>
          <w:i w:val="false"/>
          <w:iCs w:val="false"/>
          <w:sz w:val="20"/>
          <w:szCs w:val="20"/>
        </w:rPr>
        <w:t xml:space="preserve">A.	Examine the areas and conditions to receive the Work, with the Installer present, for compliance with the requirements for site clearing, earthwork, construction layout, paving and utility location, and for any other condition affecting performance of the Work.</w:t>
      </w:r>
    </w:p>
    <w:p>
      <w:pPr>
        <w:tabs>
          <w:tab w:val="left" w:pos="720"/>
        </w:tabs>
        <w:spacing w:after="100"/>
        <w:ind w:left="720" w:hanging="360"/>
      </w:pPr>
      <w:r>
        <w:rPr>
          <w:rFonts w:ascii="Arial" w:cs="Arial" w:eastAsia="Arial" w:hAnsi="Arial"/>
          <w:b w:val="false"/>
          <w:bCs w:val="false"/>
          <w:i w:val="false"/>
          <w:iCs w:val="false"/>
          <w:sz w:val="20"/>
          <w:szCs w:val="20"/>
        </w:rPr>
        <w:t xml:space="preserve">B.	Confirm the location and depth of services beneath the lane before excavation.</w:t>
      </w:r>
    </w:p>
    <w:p>
      <w:pPr>
        <w:tabs>
          <w:tab w:val="left" w:pos="720"/>
        </w:tabs>
        <w:spacing w:after="100"/>
        <w:ind w:left="720" w:hanging="360"/>
      </w:pPr>
      <w:r>
        <w:rPr>
          <w:rFonts w:ascii="Arial" w:cs="Arial" w:eastAsia="Arial" w:hAnsi="Arial"/>
          <w:b w:val="false"/>
          <w:bCs w:val="false"/>
          <w:i w:val="false"/>
          <w:iCs w:val="false"/>
          <w:sz w:val="20"/>
          <w:szCs w:val="20"/>
        </w:rPr>
        <w:t xml:space="preserve">C.	Confirm that the standoff required by Paragraph 2.02.E is available behind the barrier, and that power and control conduits are available at the locations shown.</w:t>
      </w:r>
    </w:p>
    <w:p>
      <w:pPr>
        <w:tabs>
          <w:tab w:val="left" w:pos="720"/>
        </w:tabs>
        <w:spacing w:after="100"/>
        <w:ind w:left="720" w:hanging="360"/>
      </w:pPr>
      <w:r>
        <w:rPr>
          <w:rFonts w:ascii="Arial" w:cs="Arial" w:eastAsia="Arial" w:hAnsi="Arial"/>
          <w:b w:val="false"/>
          <w:bCs w:val="false"/>
          <w:i w:val="false"/>
          <w:iCs w:val="false"/>
          <w:sz w:val="20"/>
          <w:szCs w:val="20"/>
        </w:rPr>
        <w:t xml:space="preserve">D.	Do not proceed until unsatisfactory conditions have been corrected.</w:t>
      </w:r>
    </w:p>
    <w:p>
      <w:pPr>
        <w:keepNext/>
        <w:tabs>
          <w:tab w:val="left" w:pos="720"/>
        </w:tabs>
        <w:spacing w:after="120" w:before="240"/>
      </w:pPr>
      <w:r>
        <w:rPr>
          <w:rFonts w:ascii="Arial" w:cs="Arial" w:eastAsia="Arial" w:hAnsi="Arial"/>
          <w:b/>
          <w:bCs/>
          <w:i w:val="false"/>
          <w:iCs w:val="false"/>
          <w:sz w:val="20"/>
          <w:szCs w:val="20"/>
        </w:rPr>
        <w:t xml:space="preserve">3.02	PREPARATION</w:t>
      </w:r>
    </w:p>
    <w:p>
      <w:pPr>
        <w:tabs>
          <w:tab w:val="left" w:pos="720"/>
        </w:tabs>
        <w:spacing w:after="100"/>
        <w:ind w:left="720" w:hanging="360"/>
      </w:pPr>
      <w:r>
        <w:rPr>
          <w:rFonts w:ascii="Arial" w:cs="Arial" w:eastAsia="Arial" w:hAnsi="Arial"/>
          <w:b w:val="false"/>
          <w:bCs w:val="false"/>
          <w:i w:val="false"/>
          <w:iCs w:val="false"/>
          <w:sz w:val="20"/>
          <w:szCs w:val="20"/>
        </w:rPr>
        <w:t xml:space="preserve">A.	Lay out the barrier, foundation, drive and control panel locations from the approved Shop Drawings. Obtain acceptance of layout before excavation.</w:t>
      </w:r>
    </w:p>
    <w:p>
      <w:pPr>
        <w:tabs>
          <w:tab w:val="left" w:pos="720"/>
        </w:tabs>
        <w:spacing w:after="100"/>
        <w:ind w:left="720" w:hanging="360"/>
      </w:pPr>
      <w:r>
        <w:rPr>
          <w:rFonts w:ascii="Arial" w:cs="Arial" w:eastAsia="Arial" w:hAnsi="Arial"/>
          <w:b w:val="false"/>
          <w:bCs w:val="false"/>
          <w:i w:val="false"/>
          <w:iCs w:val="false"/>
          <w:sz w:val="20"/>
          <w:szCs w:val="20"/>
        </w:rPr>
        <w:t xml:space="preserve">B.	Maintain traffic in accordance with Section 01 55 26 and the approved traffic control plan.</w:t>
      </w:r>
    </w:p>
    <w:p>
      <w:pPr>
        <w:keepNext/>
        <w:tabs>
          <w:tab w:val="left" w:pos="720"/>
        </w:tabs>
        <w:spacing w:after="120" w:before="240"/>
      </w:pPr>
      <w:r>
        <w:rPr>
          <w:rFonts w:ascii="Arial" w:cs="Arial" w:eastAsia="Arial" w:hAnsi="Arial"/>
          <w:b/>
          <w:bCs/>
          <w:i w:val="false"/>
          <w:iCs w:val="false"/>
          <w:sz w:val="20"/>
          <w:szCs w:val="20"/>
        </w:rPr>
        <w:t xml:space="preserve">3.03	INSTALLATION</w:t>
      </w:r>
    </w:p>
    <w:p>
      <w:pPr>
        <w:tabs>
          <w:tab w:val="left" w:pos="720"/>
        </w:tabs>
        <w:spacing w:after="100"/>
        <w:ind w:left="720" w:hanging="360"/>
      </w:pPr>
      <w:r>
        <w:rPr>
          <w:rFonts w:ascii="Arial" w:cs="Arial" w:eastAsia="Arial" w:hAnsi="Arial"/>
          <w:b w:val="false"/>
          <w:bCs w:val="false"/>
          <w:i w:val="false"/>
          <w:iCs w:val="false"/>
          <w:sz w:val="20"/>
          <w:szCs w:val="20"/>
        </w:rPr>
        <w:t xml:space="preserve">A.	Install in accordance with the manufacturer written installation instructions and standard drawing, the sealed foundation design and the approved Shop Drawings.</w:t>
      </w:r>
    </w:p>
    <w:p>
      <w:pPr>
        <w:tabs>
          <w:tab w:val="left" w:pos="720"/>
        </w:tabs>
        <w:spacing w:after="100"/>
        <w:ind w:left="720" w:hanging="360"/>
      </w:pPr>
      <w:r>
        <w:rPr>
          <w:rFonts w:ascii="Arial" w:cs="Arial" w:eastAsia="Arial" w:hAnsi="Arial"/>
          <w:b w:val="false"/>
          <w:bCs w:val="false"/>
          <w:i w:val="false"/>
          <w:iCs w:val="false"/>
          <w:sz w:val="20"/>
          <w:szCs w:val="20"/>
        </w:rPr>
        <w:t xml:space="preserve">B.	Foundation: Excavate, place reinforcement, and set the barrier frame to the layout shown on the sealed foundation design submitted under Article 1.06. Place and finish the concrete so that the retracted barrier sits flush with the running surface. Fill the spaces between the fingers with solid concrete as shown on the manufacturer standard drawing.</w:t>
      </w:r>
    </w:p>
    <w:p>
      <w:pPr>
        <w:tabs>
          <w:tab w:val="left" w:pos="720"/>
        </w:tabs>
        <w:spacing w:after="100"/>
        <w:ind w:left="720" w:hanging="360"/>
      </w:pPr>
      <w:r>
        <w:rPr>
          <w:rFonts w:ascii="Arial" w:cs="Arial" w:eastAsia="Arial" w:hAnsi="Arial"/>
          <w:b w:val="false"/>
          <w:bCs w:val="false"/>
          <w:i w:val="false"/>
          <w:iCs w:val="false"/>
          <w:sz w:val="20"/>
          <w:szCs w:val="20"/>
        </w:rPr>
        <w:t xml:space="preserve">C.	Electrical: Install power and control wiring in accordance with NFPA 70, Division 26 and the manufacturer wiring diagrams. Mount the control panel, safety devices and signage at the locations shown on the approved Shop Drawings.</w:t>
      </w:r>
    </w:p>
    <w:p>
      <w:pPr>
        <w:tabs>
          <w:tab w:val="left" w:pos="720"/>
        </w:tabs>
        <w:spacing w:after="100"/>
        <w:ind w:left="720" w:hanging="360"/>
      </w:pPr>
      <w:r>
        <w:rPr>
          <w:rFonts w:ascii="Arial" w:cs="Arial" w:eastAsia="Arial" w:hAnsi="Arial"/>
          <w:b w:val="false"/>
          <w:bCs w:val="false"/>
          <w:i w:val="false"/>
          <w:iCs w:val="false"/>
          <w:sz w:val="20"/>
          <w:szCs w:val="20"/>
        </w:rPr>
        <w:t xml:space="preserve">D.	[Grounding and Bonding: Ground and bond the barrier, drive and control enclosure as specified in Section 26 05 26 [and the Owner grounding design].]</w:t>
      </w:r>
    </w:p>
    <w:p>
      <w:pPr>
        <w:tabs>
          <w:tab w:val="left" w:pos="720"/>
        </w:tabs>
        <w:spacing w:after="100"/>
        <w:ind w:left="720" w:hanging="360"/>
      </w:pPr>
      <w:r>
        <w:rPr>
          <w:rFonts w:ascii="Arial" w:cs="Arial" w:eastAsia="Arial" w:hAnsi="Arial"/>
          <w:b w:val="false"/>
          <w:bCs w:val="false"/>
          <w:i w:val="false"/>
          <w:iCs w:val="false"/>
          <w:sz w:val="20"/>
          <w:szCs w:val="20"/>
        </w:rPr>
        <w:t xml:space="preserve">E.	Do not operate the barrier until the concrete has reached the strength required by the sealed foundation design.</w:t>
      </w:r>
    </w:p>
    <w:p>
      <w:pPr>
        <w:tabs>
          <w:tab w:val="left" w:pos="720"/>
        </w:tabs>
        <w:spacing w:after="100"/>
        <w:ind w:left="720" w:hanging="360"/>
      </w:pPr>
      <w:r>
        <w:rPr>
          <w:rFonts w:ascii="Arial" w:cs="Arial" w:eastAsia="Arial" w:hAnsi="Arial"/>
          <w:b w:val="false"/>
          <w:bCs w:val="false"/>
          <w:i w:val="false"/>
          <w:iCs w:val="false"/>
          <w:sz w:val="20"/>
          <w:szCs w:val="20"/>
        </w:rPr>
        <w:t xml:space="preserve">F.	Deviation from the tested configuration voids the crash rating. Do not change the barrier, foundation or components from the approved Shop Drawings without the manufacturer written approval.</w:t>
      </w:r>
    </w:p>
    <w:p>
      <w:pPr>
        <w:keepNext/>
        <w:tabs>
          <w:tab w:val="left" w:pos="720"/>
        </w:tabs>
        <w:spacing w:after="120" w:before="240"/>
      </w:pPr>
      <w:r>
        <w:rPr>
          <w:rFonts w:ascii="Arial" w:cs="Arial" w:eastAsia="Arial" w:hAnsi="Arial"/>
          <w:b/>
          <w:bCs/>
          <w:i w:val="false"/>
          <w:iCs w:val="false"/>
          <w:sz w:val="20"/>
          <w:szCs w:val="20"/>
        </w:rPr>
        <w:t xml:space="preserve">3.04	TOLERANCES</w:t>
      </w:r>
    </w:p>
    <w:p>
      <w:pPr>
        <w:tabs>
          <w:tab w:val="left" w:pos="720"/>
        </w:tabs>
        <w:spacing w:after="100"/>
        <w:ind w:left="720" w:hanging="360"/>
      </w:pPr>
      <w:r>
        <w:rPr>
          <w:rFonts w:ascii="Arial" w:cs="Arial" w:eastAsia="Arial" w:hAnsi="Arial"/>
          <w:b w:val="false"/>
          <w:bCs w:val="false"/>
          <w:i w:val="false"/>
          <w:iCs w:val="false"/>
          <w:sz w:val="20"/>
          <w:szCs w:val="20"/>
        </w:rPr>
        <w:t xml:space="preserve">A.	Flush Fit: Set the retracted wedge flush with the running surface within the tolerance stated in the manufacturer installation instructions.</w:t>
      </w:r>
    </w:p>
    <w:p>
      <w:pPr>
        <w:tabs>
          <w:tab w:val="left" w:pos="720"/>
        </w:tabs>
        <w:spacing w:after="100"/>
        <w:ind w:left="720" w:hanging="360"/>
      </w:pPr>
      <w:r>
        <w:rPr>
          <w:rFonts w:ascii="Arial" w:cs="Arial" w:eastAsia="Arial" w:hAnsi="Arial"/>
          <w:b w:val="false"/>
          <w:bCs w:val="false"/>
          <w:i w:val="false"/>
          <w:iCs w:val="false"/>
          <w:sz w:val="20"/>
          <w:szCs w:val="20"/>
        </w:rPr>
        <w:t xml:space="preserve">B.	Frame: Set the barrier frame level, square and on line within the tolerances stated in the manufacturer installation instructions.</w:t>
      </w:r>
    </w:p>
    <w:p>
      <w:pPr>
        <w:keepNext/>
        <w:tabs>
          <w:tab w:val="left" w:pos="720"/>
        </w:tabs>
        <w:spacing w:after="120" w:before="240"/>
      </w:pPr>
      <w:r>
        <w:rPr>
          <w:rFonts w:ascii="Arial" w:cs="Arial" w:eastAsia="Arial" w:hAnsi="Arial"/>
          <w:b/>
          <w:bCs/>
          <w:i w:val="false"/>
          <w:iCs w:val="false"/>
          <w:sz w:val="20"/>
          <w:szCs w:val="20"/>
        </w:rPr>
        <w:t xml:space="preserve">3.05	FIELD QUALITY CONTROL</w:t>
      </w:r>
    </w:p>
    <w:p>
      <w:pPr>
        <w:tabs>
          <w:tab w:val="left" w:pos="720"/>
        </w:tabs>
        <w:spacing w:after="100"/>
        <w:ind w:left="720" w:hanging="360"/>
      </w:pPr>
      <w:r>
        <w:rPr>
          <w:rFonts w:ascii="Arial" w:cs="Arial" w:eastAsia="Arial" w:hAnsi="Arial"/>
          <w:b w:val="false"/>
          <w:bCs w:val="false"/>
          <w:i w:val="false"/>
          <w:iCs w:val="false"/>
          <w:sz w:val="20"/>
          <w:szCs w:val="20"/>
        </w:rPr>
        <w:t xml:space="preserve">A.	Owner Testing Agency: The Owner will engage a testing agency to verify, before concrete placement, the location, dimensions and reinforcement of the slab against the sealed foundation design, and to test concrete in accordance with Section 03 30 00. Give the agency not less than [24] hours notice.</w:t>
      </w:r>
    </w:p>
    <w:p>
      <w:pPr>
        <w:tabs>
          <w:tab w:val="left" w:pos="720"/>
        </w:tabs>
        <w:spacing w:after="100"/>
        <w:ind w:left="720" w:hanging="360"/>
      </w:pPr>
      <w:r>
        <w:rPr>
          <w:rFonts w:ascii="Arial" w:cs="Arial" w:eastAsia="Arial" w:hAnsi="Arial"/>
          <w:b w:val="false"/>
          <w:bCs w:val="false"/>
          <w:i w:val="false"/>
          <w:iCs w:val="false"/>
          <w:sz w:val="20"/>
          <w:szCs w:val="20"/>
        </w:rPr>
        <w:t xml:space="preserve">B.	Foundation Record: Record the foundation as built, including reinforcement, with photographs showing the open excavation and reinforcement against a depth gauge, before concrete is placed. Submit under Closeout Submittals. These dimensions are not verifiable once concrete is placed.</w:t>
      </w:r>
    </w:p>
    <w:p>
      <w:pPr>
        <w:tabs>
          <w:tab w:val="left" w:pos="720"/>
        </w:tabs>
        <w:spacing w:after="100"/>
        <w:ind w:left="720" w:hanging="360"/>
      </w:pPr>
      <w:r>
        <w:rPr>
          <w:rFonts w:ascii="Arial" w:cs="Arial" w:eastAsia="Arial" w:hAnsi="Arial"/>
          <w:b w:val="false"/>
          <w:bCs w:val="false"/>
          <w:i w:val="false"/>
          <w:iCs w:val="false"/>
          <w:sz w:val="20"/>
          <w:szCs w:val="20"/>
        </w:rPr>
        <w:t xml:space="preserve">C.	Manufacturer Field Service: Provide the manufacturer representative at foundation layout, at setting of the frame, and at commissioning, and submit the representative written report of conformance with the installation instructions.</w:t>
      </w:r>
    </w:p>
    <w:p>
      <w:pPr>
        <w:tabs>
          <w:tab w:val="left" w:pos="720"/>
        </w:tabs>
        <w:spacing w:after="100"/>
        <w:ind w:left="720" w:hanging="360"/>
      </w:pPr>
      <w:r>
        <w:rPr>
          <w:rFonts w:ascii="Arial" w:cs="Arial" w:eastAsia="Arial" w:hAnsi="Arial"/>
          <w:b w:val="false"/>
          <w:bCs w:val="false"/>
          <w:i w:val="false"/>
          <w:iCs w:val="false"/>
          <w:sz w:val="20"/>
          <w:szCs w:val="20"/>
        </w:rPr>
        <w:t xml:space="preserve">D.	Commissioning: On completion, demonstrate the following, witnessed by the Owner security representative. Record the results and submit them under Closeout Submittals.</w:t>
      </w:r>
    </w:p>
    <w:p>
      <w:pPr>
        <w:tabs>
          <w:tab w:val="left" w:pos="1440"/>
        </w:tabs>
        <w:spacing w:after="100"/>
        <w:ind w:left="1440" w:hanging="360"/>
      </w:pPr>
      <w:r>
        <w:rPr>
          <w:rFonts w:ascii="Arial" w:cs="Arial" w:eastAsia="Arial" w:hAnsi="Arial"/>
          <w:b w:val="false"/>
          <w:bCs w:val="false"/>
          <w:i w:val="false"/>
          <w:iCs w:val="false"/>
          <w:sz w:val="20"/>
          <w:szCs w:val="20"/>
        </w:rPr>
        <w:t xml:space="preserve">1.	[Insert] normal open and close cycles within the cycle time of Paragraph 2.02.F.</w:t>
      </w:r>
    </w:p>
    <w:p>
      <w:pPr>
        <w:tabs>
          <w:tab w:val="left" w:pos="1440"/>
        </w:tabs>
        <w:spacing w:after="100"/>
        <w:ind w:left="1440" w:hanging="360"/>
      </w:pPr>
      <w:r>
        <w:rPr>
          <w:rFonts w:ascii="Arial" w:cs="Arial" w:eastAsia="Arial" w:hAnsi="Arial"/>
          <w:b w:val="false"/>
          <w:bCs w:val="false"/>
          <w:i w:val="false"/>
          <w:iCs w:val="false"/>
          <w:sz w:val="20"/>
          <w:szCs w:val="20"/>
        </w:rPr>
        <w:t xml:space="preserve">2.	[Insert] Emergency Fast Operate operations within the time of Paragraph 2.02.F, with audible and visual alarm and keyed reset.</w:t>
      </w:r>
    </w:p>
    <w:p>
      <w:pPr>
        <w:tabs>
          <w:tab w:val="left" w:pos="1440"/>
        </w:tabs>
        <w:spacing w:after="100"/>
        <w:ind w:left="1440" w:hanging="360"/>
      </w:pPr>
      <w:r>
        <w:rPr>
          <w:rFonts w:ascii="Arial" w:cs="Arial" w:eastAsia="Arial" w:hAnsi="Arial"/>
          <w:b w:val="false"/>
          <w:bCs w:val="false"/>
          <w:i w:val="false"/>
          <w:iCs w:val="false"/>
          <w:sz w:val="20"/>
          <w:szCs w:val="20"/>
        </w:rPr>
        <w:t xml:space="preserve">3.	Position holding on loss of command.</w:t>
      </w:r>
    </w:p>
    <w:p>
      <w:pPr>
        <w:tabs>
          <w:tab w:val="left" w:pos="1440"/>
        </w:tabs>
        <w:spacing w:after="100"/>
        <w:ind w:left="1440" w:hanging="360"/>
      </w:pPr>
      <w:r>
        <w:rPr>
          <w:rFonts w:ascii="Arial" w:cs="Arial" w:eastAsia="Arial" w:hAnsi="Arial"/>
          <w:b w:val="false"/>
          <w:bCs w:val="false"/>
          <w:i w:val="false"/>
          <w:iCs w:val="false"/>
          <w:sz w:val="20"/>
          <w:szCs w:val="20"/>
        </w:rPr>
        <w:t xml:space="preserve">4.	Loss of power test and manual operation, in accordance with Paragraph 2.06.D.</w:t>
      </w:r>
    </w:p>
    <w:p>
      <w:pPr>
        <w:tabs>
          <w:tab w:val="left" w:pos="1440"/>
        </w:tabs>
        <w:spacing w:after="100"/>
        <w:ind w:left="1440" w:hanging="360"/>
      </w:pPr>
      <w:r>
        <w:rPr>
          <w:rFonts w:ascii="Arial" w:cs="Arial" w:eastAsia="Arial" w:hAnsi="Arial"/>
          <w:b w:val="false"/>
          <w:bCs w:val="false"/>
          <w:i w:val="false"/>
          <w:iCs w:val="false"/>
          <w:sz w:val="20"/>
          <w:szCs w:val="20"/>
        </w:rPr>
        <w:t xml:space="preserve">5.	[Battery backup runtime of [Insert] minutes.]</w:t>
      </w:r>
    </w:p>
    <w:p>
      <w:pPr>
        <w:tabs>
          <w:tab w:val="left" w:pos="1440"/>
        </w:tabs>
        <w:spacing w:after="100"/>
        <w:ind w:left="1440" w:hanging="360"/>
      </w:pPr>
      <w:r>
        <w:rPr>
          <w:rFonts w:ascii="Arial" w:cs="Arial" w:eastAsia="Arial" w:hAnsi="Arial"/>
          <w:b w:val="false"/>
          <w:bCs w:val="false"/>
          <w:i w:val="false"/>
          <w:iCs w:val="false"/>
          <w:sz w:val="20"/>
          <w:szCs w:val="20"/>
        </w:rPr>
        <w:t xml:space="preserve">6.	[Slab heater operation.]</w:t>
      </w:r>
    </w:p>
    <w:p>
      <w:pPr>
        <w:tabs>
          <w:tab w:val="left" w:pos="1440"/>
        </w:tabs>
        <w:spacing w:after="100"/>
        <w:ind w:left="1440" w:hanging="360"/>
      </w:pPr>
      <w:r>
        <w:rPr>
          <w:rFonts w:ascii="Arial" w:cs="Arial" w:eastAsia="Arial" w:hAnsi="Arial"/>
          <w:b w:val="false"/>
          <w:bCs w:val="false"/>
          <w:i w:val="false"/>
          <w:iCs w:val="false"/>
          <w:sz w:val="20"/>
          <w:szCs w:val="20"/>
        </w:rPr>
        <w:t xml:space="preserve">7.	The operating modes in Schedule 4.</w:t>
      </w:r>
    </w:p>
    <w:p>
      <w:pPr>
        <w:tabs>
          <w:tab w:val="left" w:pos="1440"/>
        </w:tabs>
        <w:spacing w:after="100"/>
        <w:ind w:left="1440" w:hanging="360"/>
      </w:pPr>
      <w:r>
        <w:rPr>
          <w:rFonts w:ascii="Arial" w:cs="Arial" w:eastAsia="Arial" w:hAnsi="Arial"/>
          <w:b w:val="false"/>
          <w:bCs w:val="false"/>
          <w:i w:val="false"/>
          <w:iCs w:val="false"/>
          <w:sz w:val="20"/>
          <w:szCs w:val="20"/>
        </w:rPr>
        <w:t xml:space="preserve">8.	The loop scheme, including safety loop hold open and its interaction with Emergency Fast Operate in accordance with Paragraph 2.06.G.</w:t>
      </w:r>
    </w:p>
    <w:p>
      <w:pPr>
        <w:tabs>
          <w:tab w:val="left" w:pos="1440"/>
        </w:tabs>
        <w:spacing w:after="100"/>
        <w:ind w:left="1440" w:hanging="360"/>
      </w:pPr>
      <w:r>
        <w:rPr>
          <w:rFonts w:ascii="Arial" w:cs="Arial" w:eastAsia="Arial" w:hAnsi="Arial"/>
          <w:b w:val="false"/>
          <w:bCs w:val="false"/>
          <w:i w:val="false"/>
          <w:iCs w:val="false"/>
          <w:sz w:val="20"/>
          <w:szCs w:val="20"/>
        </w:rPr>
        <w:t xml:space="preserve">9.	Warning lights, signals and all signaling and access control interfaces.</w:t>
      </w:r>
    </w:p>
    <w:p>
      <w:pPr>
        <w:tabs>
          <w:tab w:val="left" w:pos="1440"/>
        </w:tabs>
        <w:spacing w:after="100"/>
        <w:ind w:left="1440" w:hanging="360"/>
      </w:pPr>
      <w:r>
        <w:rPr>
          <w:rFonts w:ascii="Arial" w:cs="Arial" w:eastAsia="Arial" w:hAnsi="Arial"/>
          <w:b w:val="false"/>
          <w:bCs w:val="false"/>
          <w:i w:val="false"/>
          <w:iCs w:val="false"/>
          <w:sz w:val="20"/>
          <w:szCs w:val="20"/>
        </w:rPr>
        <w:t xml:space="preserve">10.	A security acceptance test.</w:t>
      </w:r>
    </w:p>
    <w:p>
      <w:pPr>
        <w:tabs>
          <w:tab w:val="left" w:pos="720"/>
        </w:tabs>
        <w:spacing w:after="100"/>
        <w:ind w:left="720" w:hanging="360"/>
      </w:pPr>
      <w:r>
        <w:rPr>
          <w:rFonts w:ascii="Arial" w:cs="Arial" w:eastAsia="Arial" w:hAnsi="Arial"/>
          <w:b w:val="false"/>
          <w:bCs w:val="false"/>
          <w:i w:val="false"/>
          <w:iCs w:val="false"/>
          <w:sz w:val="20"/>
          <w:szCs w:val="20"/>
        </w:rPr>
        <w:t xml:space="preserve">E.	Correct and retest nonconforming work at no additional cost to the Owner.</w:t>
      </w:r>
    </w:p>
    <w:p>
      <w:pPr>
        <w:keepNext/>
        <w:tabs>
          <w:tab w:val="left" w:pos="720"/>
        </w:tabs>
        <w:spacing w:after="120" w:before="240"/>
      </w:pPr>
      <w:r>
        <w:rPr>
          <w:rFonts w:ascii="Arial" w:cs="Arial" w:eastAsia="Arial" w:hAnsi="Arial"/>
          <w:b/>
          <w:bCs/>
          <w:i w:val="false"/>
          <w:iCs w:val="false"/>
          <w:sz w:val="20"/>
          <w:szCs w:val="20"/>
        </w:rPr>
        <w:t xml:space="preserve">3.06	REPAIR OF COATINGS</w:t>
      </w:r>
    </w:p>
    <w:p>
      <w:pPr>
        <w:tabs>
          <w:tab w:val="left" w:pos="720"/>
        </w:tabs>
        <w:spacing w:after="100"/>
        <w:ind w:left="720" w:hanging="360"/>
      </w:pPr>
      <w:r>
        <w:rPr>
          <w:rFonts w:ascii="Arial" w:cs="Arial" w:eastAsia="Arial" w:hAnsi="Arial"/>
          <w:b w:val="false"/>
          <w:bCs w:val="false"/>
          <w:i w:val="false"/>
          <w:iCs w:val="false"/>
          <w:sz w:val="20"/>
          <w:szCs w:val="20"/>
        </w:rPr>
        <w:t xml:space="preserve">A.	Clean damaged areas with a wire brush or abrasive paper to remove rust and debris.</w:t>
      </w:r>
    </w:p>
    <w:p>
      <w:pPr>
        <w:tabs>
          <w:tab w:val="left" w:pos="720"/>
        </w:tabs>
        <w:spacing w:after="100"/>
        <w:ind w:left="720" w:hanging="360"/>
      </w:pPr>
      <w:r>
        <w:rPr>
          <w:rFonts w:ascii="Arial" w:cs="Arial" w:eastAsia="Arial" w:hAnsi="Arial"/>
          <w:b w:val="false"/>
          <w:bCs w:val="false"/>
          <w:i w:val="false"/>
          <w:iCs w:val="false"/>
          <w:sz w:val="20"/>
          <w:szCs w:val="20"/>
        </w:rPr>
        <w:t xml:space="preserve">B.	Galvanized Finish: Repair in accordance with ASTM A780/A780M with a zinc rich paint formulated for galvanized steel.</w:t>
      </w:r>
    </w:p>
    <w:p>
      <w:pPr>
        <w:tabs>
          <w:tab w:val="left" w:pos="720"/>
        </w:tabs>
        <w:spacing w:after="100"/>
        <w:ind w:left="720" w:hanging="360"/>
      </w:pPr>
      <w:r>
        <w:rPr>
          <w:rFonts w:ascii="Arial" w:cs="Arial" w:eastAsia="Arial" w:hAnsi="Arial"/>
          <w:b w:val="false"/>
          <w:bCs w:val="false"/>
          <w:i w:val="false"/>
          <w:iCs w:val="false"/>
          <w:sz w:val="20"/>
          <w:szCs w:val="20"/>
        </w:rPr>
        <w:t xml:space="preserve">C.	Powder Coated Finish: Apply the manufacturer matched touch up finish. Apply additional coats as required to restore appearance and cover.</w:t>
      </w:r>
    </w:p>
    <w:p>
      <w:pPr>
        <w:tabs>
          <w:tab w:val="left" w:pos="720"/>
        </w:tabs>
        <w:spacing w:after="100"/>
        <w:ind w:left="720" w:hanging="360"/>
      </w:pPr>
      <w:r>
        <w:rPr>
          <w:rFonts w:ascii="Arial" w:cs="Arial" w:eastAsia="Arial" w:hAnsi="Arial"/>
          <w:b w:val="false"/>
          <w:bCs w:val="false"/>
          <w:i w:val="false"/>
          <w:iCs w:val="false"/>
          <w:sz w:val="20"/>
          <w:szCs w:val="20"/>
        </w:rPr>
        <w:t xml:space="preserve">D.	Markings: Replace damaged retroreflective sheeting with sheeting complying with Paragraph 2.10.C.</w:t>
      </w:r>
    </w:p>
    <w:p>
      <w:pPr>
        <w:keepNext/>
        <w:tabs>
          <w:tab w:val="left" w:pos="720"/>
        </w:tabs>
        <w:spacing w:after="120" w:before="240"/>
      </w:pPr>
      <w:r>
        <w:rPr>
          <w:rFonts w:ascii="Arial" w:cs="Arial" w:eastAsia="Arial" w:hAnsi="Arial"/>
          <w:b/>
          <w:bCs/>
          <w:i w:val="false"/>
          <w:iCs w:val="false"/>
          <w:sz w:val="20"/>
          <w:szCs w:val="20"/>
        </w:rPr>
        <w:t xml:space="preserve">3.07	CLEANING</w:t>
      </w:r>
    </w:p>
    <w:p>
      <w:pPr>
        <w:tabs>
          <w:tab w:val="left" w:pos="720"/>
        </w:tabs>
        <w:spacing w:after="100"/>
        <w:ind w:left="720" w:hanging="360"/>
      </w:pPr>
      <w:r>
        <w:rPr>
          <w:rFonts w:ascii="Arial" w:cs="Arial" w:eastAsia="Arial" w:hAnsi="Arial"/>
          <w:b w:val="false"/>
          <w:bCs w:val="false"/>
          <w:i w:val="false"/>
          <w:iCs w:val="false"/>
          <w:sz w:val="20"/>
          <w:szCs w:val="20"/>
        </w:rPr>
        <w:t xml:space="preserve">A.	On completion, remove excess materials and debris from the site, and clear the barrier recess and running surface.</w:t>
      </w:r>
    </w:p>
    <w:p>
      <w:pPr>
        <w:keepNext/>
        <w:tabs>
          <w:tab w:val="left" w:pos="720"/>
        </w:tabs>
        <w:spacing w:after="120" w:before="240"/>
      </w:pPr>
      <w:r>
        <w:rPr>
          <w:rFonts w:ascii="Arial" w:cs="Arial" w:eastAsia="Arial" w:hAnsi="Arial"/>
          <w:b/>
          <w:bCs/>
          <w:i w:val="false"/>
          <w:iCs w:val="false"/>
          <w:sz w:val="20"/>
          <w:szCs w:val="20"/>
        </w:rPr>
        <w:t xml:space="preserve">3.08	PROTECTION</w:t>
      </w:r>
    </w:p>
    <w:p>
      <w:pPr>
        <w:tabs>
          <w:tab w:val="left" w:pos="720"/>
        </w:tabs>
        <w:spacing w:after="100"/>
        <w:ind w:left="720" w:hanging="360"/>
      </w:pPr>
      <w:r>
        <w:rPr>
          <w:rFonts w:ascii="Arial" w:cs="Arial" w:eastAsia="Arial" w:hAnsi="Arial"/>
          <w:b w:val="false"/>
          <w:bCs w:val="false"/>
          <w:i w:val="false"/>
          <w:iCs w:val="false"/>
          <w:sz w:val="20"/>
          <w:szCs w:val="20"/>
        </w:rPr>
        <w:t xml:space="preserve">A.	Protect the installed barrier, drive and controls from damage by subsequent construction operations until Substantial Completion.</w:t>
      </w:r>
    </w:p>
    <w:p>
      <w:pPr>
        <w:keepNext/>
        <w:tabs>
          <w:tab w:val="left" w:pos="720"/>
        </w:tabs>
        <w:spacing w:after="120" w:before="240"/>
      </w:pPr>
      <w:r>
        <w:rPr>
          <w:rFonts w:ascii="Arial" w:cs="Arial" w:eastAsia="Arial" w:hAnsi="Arial"/>
          <w:b/>
          <w:bCs/>
          <w:i w:val="false"/>
          <w:iCs w:val="false"/>
          <w:sz w:val="20"/>
          <w:szCs w:val="20"/>
        </w:rPr>
        <w:t xml:space="preserve">3.09	DEMONSTRATION AND TRAINING</w:t>
      </w:r>
    </w:p>
    <w:p>
      <w:pPr>
        <w:tabs>
          <w:tab w:val="left" w:pos="720"/>
        </w:tabs>
        <w:spacing w:after="100"/>
        <w:ind w:left="720" w:hanging="360"/>
      </w:pPr>
      <w:r>
        <w:rPr>
          <w:rFonts w:ascii="Arial" w:cs="Arial" w:eastAsia="Arial" w:hAnsi="Arial"/>
          <w:b w:val="false"/>
          <w:bCs w:val="false"/>
          <w:i w:val="false"/>
          <w:iCs w:val="false"/>
          <w:sz w:val="20"/>
          <w:szCs w:val="20"/>
        </w:rPr>
        <w:t xml:space="preserve">A.	Train Owner personnel in normal operation, Emergency Fast Operate, keyed reset, manual operation, behavior on loss of power and routine inspection, using the manufacturer operation and maintenance manual. Training duration: [Insert] hours.</w:t>
      </w:r>
    </w:p>
    <w:p>
      <w:pPr>
        <w:keepNext/>
        <w:tabs>
          <w:tab w:val="left" w:pos="720"/>
        </w:tabs>
        <w:spacing w:after="120" w:before="240"/>
      </w:pPr>
      <w:r>
        <w:rPr>
          <w:rFonts w:ascii="Arial" w:cs="Arial" w:eastAsia="Arial" w:hAnsi="Arial"/>
          <w:b/>
          <w:bCs/>
          <w:i w:val="false"/>
          <w:iCs w:val="false"/>
          <w:sz w:val="20"/>
          <w:szCs w:val="20"/>
        </w:rPr>
        <w:t xml:space="preserve">3.10	SCHEDULES</w:t>
      </w:r>
    </w:p>
    <w:p>
      <w:pPr>
        <w:keepNext/>
        <w:spacing w:after="100" w:before="300"/>
        <w:ind w:left="360"/>
      </w:pPr>
      <w:r>
        <w:rPr>
          <w:rFonts w:ascii="Arial" w:cs="Arial" w:eastAsia="Arial" w:hAnsi="Arial"/>
          <w:b/>
          <w:bCs/>
          <w:i w:val="false"/>
          <w:iCs w:val="false"/>
          <w:sz w:val="20"/>
          <w:szCs w:val="20"/>
        </w:rPr>
        <w:t xml:space="preserve">Schedule 1 – Rating</w:t>
      </w:r>
    </w:p>
    <w:tbl>
      <w:tblPr>
        <w:tblW w:type="auto" w:w="100"/>
        <w:tblBorders>
          <w:top w:val="single" w:color="auto" w:sz="4"/>
          <w:left w:val="single" w:color="auto" w:sz="4"/>
          <w:bottom w:val="single" w:color="auto" w:sz="4"/>
          <w:right w:val="single" w:color="auto" w:sz="4"/>
          <w:insideH w:val="single" w:color="auto" w:sz="4"/>
          <w:insideV w:val="single" w:color="auto" w:sz="4"/>
        </w:tblBorders>
      </w:tblPr>
      <w:tblGrid>
        <w:gridCol w:w="1700"/>
        <w:gridCol w:w="2700"/>
        <w:gridCol w:w="2400"/>
        <w:gridCol w:w="2560"/>
      </w:tblGrid>
      <w:tr>
        <w:trPr>
          <w:cantSplit/>
          <w:tblHeader/>
        </w:trPr>
        <w:tc>
          <w:tcPr>
            <w:tcW w:type="dxa" w:w="1700"/>
            <w:shd w:fill="E8E8E8" w:val="clear"/>
            <w:tcMar>
              <w:top w:type="dxa" w:w="60"/>
              <w:left w:type="dxa" w:w="100"/>
              <w:bottom w:type="dxa" w:w="60"/>
              <w:right w:type="dxa" w:w="100"/>
            </w:tcMar>
          </w:tcPr>
          <w:p>
            <w:r>
              <w:rPr>
                <w:rFonts w:ascii="Arial" w:cs="Arial" w:eastAsia="Arial" w:hAnsi="Arial"/>
                <w:b/>
                <w:bCs/>
                <w:i w:val="false"/>
                <w:iCs w:val="false"/>
                <w:sz w:val="18"/>
                <w:szCs w:val="18"/>
              </w:rPr>
              <w:t xml:space="preserve">Model</w:t>
            </w:r>
          </w:p>
        </w:tc>
        <w:tc>
          <w:tcPr>
            <w:tcW w:type="dxa" w:w="2700"/>
            <w:shd w:fill="E8E8E8" w:val="clear"/>
            <w:tcMar>
              <w:top w:type="dxa" w:w="60"/>
              <w:left w:type="dxa" w:w="100"/>
              <w:bottom w:type="dxa" w:w="60"/>
              <w:right w:type="dxa" w:w="100"/>
            </w:tcMar>
          </w:tcPr>
          <w:p>
            <w:r>
              <w:rPr>
                <w:rFonts w:ascii="Arial" w:cs="Arial" w:eastAsia="Arial" w:hAnsi="Arial"/>
                <w:b/>
                <w:bCs/>
                <w:i w:val="false"/>
                <w:iCs w:val="false"/>
                <w:sz w:val="18"/>
                <w:szCs w:val="18"/>
              </w:rPr>
              <w:t xml:space="preserve">ASTM F2656/F2656M-23 test condition</w:t>
            </w:r>
          </w:p>
        </w:tc>
        <w:tc>
          <w:tcPr>
            <w:tcW w:type="dxa" w:w="2400"/>
            <w:shd w:fill="E8E8E8" w:val="clear"/>
            <w:tcMar>
              <w:top w:type="dxa" w:w="60"/>
              <w:left w:type="dxa" w:w="100"/>
              <w:bottom w:type="dxa" w:w="60"/>
              <w:right w:type="dxa" w:w="100"/>
            </w:tcMar>
          </w:tcPr>
          <w:p>
            <w:r>
              <w:rPr>
                <w:rFonts w:ascii="Arial" w:cs="Arial" w:eastAsia="Arial" w:hAnsi="Arial"/>
                <w:b/>
                <w:bCs/>
                <w:i w:val="false"/>
                <w:iCs w:val="false"/>
                <w:sz w:val="18"/>
                <w:szCs w:val="18"/>
              </w:rPr>
              <w:t xml:space="preserve">Penetration rating</w:t>
            </w:r>
          </w:p>
        </w:tc>
        <w:tc>
          <w:tcPr>
            <w:tcW w:type="dxa" w:w="2560"/>
            <w:shd w:fill="E8E8E8" w:val="clear"/>
            <w:tcMar>
              <w:top w:type="dxa" w:w="60"/>
              <w:left w:type="dxa" w:w="100"/>
              <w:bottom w:type="dxa" w:w="60"/>
              <w:right w:type="dxa" w:w="100"/>
            </w:tcMar>
          </w:tcPr>
          <w:p>
            <w:r>
              <w:rPr>
                <w:rFonts w:ascii="Arial" w:cs="Arial" w:eastAsia="Arial" w:hAnsi="Arial"/>
                <w:b/>
                <w:bCs/>
                <w:i w:val="false"/>
                <w:iCs w:val="false"/>
                <w:sz w:val="18"/>
                <w:szCs w:val="18"/>
              </w:rPr>
              <w:t xml:space="preserve">Listing</w:t>
            </w:r>
          </w:p>
        </w:tc>
      </w:tr>
      <w:tr>
        <w:trPr>
          <w:cantSplit/>
          <w:tblHeader w:val="false"/>
        </w:trPr>
        <w:tc>
          <w:tcPr>
            <w:tcW w:type="dxa" w:w="1700"/>
            <w:tcMar>
              <w:top w:type="dxa" w:w="60"/>
              <w:left w:type="dxa" w:w="100"/>
              <w:bottom w:type="dxa" w:w="60"/>
              <w:right w:type="dxa" w:w="100"/>
            </w:tcMar>
          </w:tcPr>
          <w:p>
            <w:r>
              <w:rPr>
                <w:rFonts w:ascii="Arial" w:cs="Arial" w:eastAsia="Arial" w:hAnsi="Arial"/>
                <w:b w:val="false"/>
                <w:bCs w:val="false"/>
                <w:i w:val="false"/>
                <w:iCs w:val="false"/>
                <w:sz w:val="18"/>
                <w:szCs w:val="18"/>
              </w:rPr>
              <w:t xml:space="preserve">AVBD 452</w:t>
            </w:r>
          </w:p>
        </w:tc>
        <w:tc>
          <w:tcPr>
            <w:tcW w:type="dxa" w:w="2700"/>
            <w:tcMar>
              <w:top w:type="dxa" w:w="60"/>
              <w:left w:type="dxa" w:w="100"/>
              <w:bottom w:type="dxa" w:w="60"/>
              <w:right w:type="dxa" w:w="100"/>
            </w:tcMar>
          </w:tcPr>
          <w:p>
            <w:r>
              <w:rPr>
                <w:rFonts w:ascii="Arial" w:cs="Arial" w:eastAsia="Arial" w:hAnsi="Arial"/>
                <w:b w:val="false"/>
                <w:bCs w:val="false"/>
                <w:i w:val="false"/>
                <w:iCs w:val="false"/>
                <w:sz w:val="18"/>
                <w:szCs w:val="18"/>
              </w:rPr>
              <w:t xml:space="preserve">M50: 15,000 lb at 50 mph</w:t>
            </w:r>
          </w:p>
        </w:tc>
        <w:tc>
          <w:tcPr>
            <w:tcW w:type="dxa" w:w="2400"/>
            <w:tcMar>
              <w:top w:type="dxa" w:w="60"/>
              <w:left w:type="dxa" w:w="100"/>
              <w:bottom w:type="dxa" w:w="60"/>
              <w:right w:type="dxa" w:w="100"/>
            </w:tcMar>
          </w:tcPr>
          <w:p>
            <w:r>
              <w:rPr>
                <w:rFonts w:ascii="Arial" w:cs="Arial" w:eastAsia="Arial" w:hAnsi="Arial"/>
                <w:b w:val="false"/>
                <w:bCs w:val="false"/>
                <w:i w:val="false"/>
                <w:iCs w:val="false"/>
                <w:sz w:val="18"/>
                <w:szCs w:val="18"/>
              </w:rPr>
              <w:t xml:space="preserve">P1: not exceeding 3.3 ft</w:t>
            </w:r>
          </w:p>
        </w:tc>
        <w:tc>
          <w:tcPr>
            <w:tcW w:type="dxa" w:w="2560"/>
            <w:tcMar>
              <w:top w:type="dxa" w:w="60"/>
              <w:left w:type="dxa" w:w="100"/>
              <w:bottom w:type="dxa" w:w="60"/>
              <w:right w:type="dxa" w:w="100"/>
            </w:tcMar>
          </w:tcPr>
          <w:p>
            <w:r>
              <w:rPr>
                <w:rFonts w:ascii="Arial" w:cs="Arial" w:eastAsia="Arial" w:hAnsi="Arial"/>
                <w:b w:val="false"/>
                <w:bCs w:val="false"/>
                <w:i w:val="false"/>
                <w:iCs w:val="false"/>
                <w:sz w:val="18"/>
                <w:szCs w:val="18"/>
              </w:rPr>
              <w:t xml:space="preserve">Listed on the DoD Anti Ram Vehicle Barrier List (as of October 2026; confirm current listing at submittal)</w:t>
            </w:r>
          </w:p>
        </w:tc>
      </w:tr>
    </w:tbl>
    <w:p>
      <w:pPr>
        <w:pStyle w:val="SpecifierNote"/>
        <w:pBdr>
          <w:top w:val="single" w:color="1F5C99" w:sz="4" w:space="4"/>
          <w:bottom w:val="single" w:color="1F5C99" w:sz="4" w:space="4"/>
          <w:left w:val="single" w:color="1F5C99" w:sz="4" w:space="4"/>
          <w:right w:val="single" w:color="1F5C99" w:sz="4" w:space="4"/>
        </w:pBdr>
        <w:shd w:fill="EEF3FA" w:val="clear"/>
        <w:spacing w:after="140" w:before="140"/>
        <w:ind w:left="360" w:right="360"/>
      </w:pPr>
      <w:r>
        <w:rPr>
          <w:rFonts w:ascii="Arial" w:cs="Arial" w:eastAsia="Arial" w:hAnsi="Arial"/>
          <w:b/>
          <w:bCs/>
          <w:i/>
          <w:iCs/>
          <w:color w:val="1F5C99"/>
          <w:sz w:val="18"/>
          <w:szCs w:val="18"/>
        </w:rPr>
        <w:t xml:space="preserve">SPECIFIER NOTE: </w:t>
      </w:r>
      <w:r>
        <w:rPr>
          <w:rFonts w:ascii="Arial" w:cs="Arial" w:eastAsia="Arial" w:hAnsi="Arial"/>
          <w:b w:val="false"/>
          <w:bCs w:val="false"/>
          <w:i/>
          <w:iCs/>
          <w:color w:val="1F5C99"/>
          <w:sz w:val="18"/>
          <w:szCs w:val="18"/>
        </w:rPr>
        <w:t xml:space="preserve">Listing status as of October 2026; confirm current listing at submittal. Listing is not an endorsement. The rating applies at the tested width stated on the crash test certification; wider openings are covered by setting units side by side under Paragraph 2.03.F. The rating, not a measured figure, is what a substitute must match. Delete this note before issue.</w:t>
      </w:r>
    </w:p>
    <w:p>
      <w:pPr>
        <w:keepNext/>
        <w:spacing w:after="100" w:before="300"/>
        <w:ind w:left="360"/>
      </w:pPr>
      <w:r>
        <w:rPr>
          <w:rFonts w:ascii="Arial" w:cs="Arial" w:eastAsia="Arial" w:hAnsi="Arial"/>
          <w:b/>
          <w:bCs/>
          <w:i w:val="false"/>
          <w:iCs w:val="false"/>
          <w:sz w:val="20"/>
          <w:szCs w:val="20"/>
        </w:rPr>
        <w:t xml:space="preserve">Schedule 2 – System Characteristics and Project Selections</w:t>
      </w:r>
    </w:p>
    <w:tbl>
      <w:tblPr>
        <w:tblW w:type="auto" w:w="100"/>
        <w:tblBorders>
          <w:top w:val="single" w:color="auto" w:sz="4"/>
          <w:left w:val="single" w:color="auto" w:sz="4"/>
          <w:bottom w:val="single" w:color="auto" w:sz="4"/>
          <w:right w:val="single" w:color="auto" w:sz="4"/>
          <w:insideH w:val="single" w:color="auto" w:sz="4"/>
          <w:insideV w:val="single" w:color="auto" w:sz="4"/>
        </w:tblBorders>
      </w:tblPr>
      <w:tblGrid>
        <w:gridCol w:w="3400"/>
        <w:gridCol w:w="5960"/>
      </w:tblGrid>
      <w:tr>
        <w:trPr>
          <w:cantSplit/>
          <w:tblHeader/>
        </w:trPr>
        <w:tc>
          <w:tcPr>
            <w:tcW w:type="dxa" w:w="3400"/>
            <w:shd w:fill="E8E8E8" w:val="clear"/>
            <w:tcMar>
              <w:top w:type="dxa" w:w="60"/>
              <w:left w:type="dxa" w:w="100"/>
              <w:bottom w:type="dxa" w:w="60"/>
              <w:right w:type="dxa" w:w="100"/>
            </w:tcMar>
          </w:tcPr>
          <w:p>
            <w:r>
              <w:rPr>
                <w:rFonts w:ascii="Arial" w:cs="Arial" w:eastAsia="Arial" w:hAnsi="Arial"/>
                <w:b/>
                <w:bCs/>
                <w:i w:val="false"/>
                <w:iCs w:val="false"/>
                <w:sz w:val="18"/>
                <w:szCs w:val="18"/>
              </w:rPr>
              <w:t xml:space="preserve">Parameter</w:t>
            </w:r>
          </w:p>
        </w:tc>
        <w:tc>
          <w:tcPr>
            <w:tcW w:type="dxa" w:w="5960"/>
            <w:shd w:fill="E8E8E8" w:val="clear"/>
            <w:tcMar>
              <w:top w:type="dxa" w:w="60"/>
              <w:left w:type="dxa" w:w="100"/>
              <w:bottom w:type="dxa" w:w="60"/>
              <w:right w:type="dxa" w:w="100"/>
            </w:tcMar>
          </w:tcPr>
          <w:p>
            <w:r>
              <w:rPr>
                <w:rFonts w:ascii="Arial" w:cs="Arial" w:eastAsia="Arial" w:hAnsi="Arial"/>
                <w:b/>
                <w:bCs/>
                <w:i w:val="false"/>
                <w:iCs w:val="false"/>
                <w:sz w:val="18"/>
                <w:szCs w:val="18"/>
              </w:rPr>
              <w:t xml:space="preserve">Provision</w:t>
            </w:r>
          </w:p>
        </w:tc>
      </w:tr>
      <w:tr>
        <w:trPr>
          <w:cantSplit/>
          <w:tblHeader w:val="false"/>
        </w:trPr>
        <w:tc>
          <w:tcPr>
            <w:tcW w:type="dxa" w:w="3400"/>
            <w:tcMar>
              <w:top w:type="dxa" w:w="60"/>
              <w:left w:type="dxa" w:w="100"/>
              <w:bottom w:type="dxa" w:w="60"/>
              <w:right w:type="dxa" w:w="100"/>
            </w:tcMar>
          </w:tcPr>
          <w:p>
            <w:r>
              <w:rPr>
                <w:rFonts w:ascii="Arial" w:cs="Arial" w:eastAsia="Arial" w:hAnsi="Arial"/>
                <w:b w:val="false"/>
                <w:bCs w:val="false"/>
                <w:i w:val="false"/>
                <w:iCs w:val="false"/>
                <w:sz w:val="18"/>
                <w:szCs w:val="18"/>
              </w:rPr>
              <w:t xml:space="preserve">Barrier type</w:t>
            </w:r>
          </w:p>
        </w:tc>
        <w:tc>
          <w:tcPr>
            <w:tcW w:type="dxa" w:w="5960"/>
            <w:tcMar>
              <w:top w:type="dxa" w:w="60"/>
              <w:left w:type="dxa" w:w="100"/>
              <w:bottom w:type="dxa" w:w="60"/>
              <w:right w:type="dxa" w:w="100"/>
            </w:tcMar>
          </w:tcPr>
          <w:p>
            <w:r>
              <w:rPr>
                <w:rFonts w:ascii="Arial" w:cs="Arial" w:eastAsia="Arial" w:hAnsi="Arial"/>
                <w:b w:val="false"/>
                <w:bCs w:val="false"/>
                <w:i w:val="false"/>
                <w:iCs w:val="false"/>
                <w:sz w:val="18"/>
                <w:szCs w:val="18"/>
              </w:rPr>
              <w:t xml:space="preserve">Active, direct acting three finger wedge; no tracks, chains or springs</w:t>
            </w:r>
          </w:p>
        </w:tc>
      </w:tr>
      <w:tr>
        <w:trPr>
          <w:cantSplit/>
          <w:tblHeader w:val="false"/>
        </w:trPr>
        <w:tc>
          <w:tcPr>
            <w:tcW w:type="dxa" w:w="3400"/>
            <w:tcMar>
              <w:top w:type="dxa" w:w="60"/>
              <w:left w:type="dxa" w:w="100"/>
              <w:bottom w:type="dxa" w:w="60"/>
              <w:right w:type="dxa" w:w="100"/>
            </w:tcMar>
          </w:tcPr>
          <w:p>
            <w:r>
              <w:rPr>
                <w:rFonts w:ascii="Arial" w:cs="Arial" w:eastAsia="Arial" w:hAnsi="Arial"/>
                <w:b w:val="false"/>
                <w:bCs w:val="false"/>
                <w:i w:val="false"/>
                <w:iCs w:val="false"/>
                <w:sz w:val="18"/>
                <w:szCs w:val="18"/>
              </w:rPr>
              <w:t xml:space="preserve">Blocking height</w:t>
            </w:r>
          </w:p>
        </w:tc>
        <w:tc>
          <w:tcPr>
            <w:tcW w:type="dxa" w:w="5960"/>
            <w:tcMar>
              <w:top w:type="dxa" w:w="60"/>
              <w:left w:type="dxa" w:w="100"/>
              <w:bottom w:type="dxa" w:w="60"/>
              <w:right w:type="dxa" w:w="100"/>
            </w:tcMar>
          </w:tcPr>
          <w:p>
            <w:r>
              <w:rPr>
                <w:rFonts w:ascii="Arial" w:cs="Arial" w:eastAsia="Arial" w:hAnsi="Arial"/>
                <w:b w:val="false"/>
                <w:bCs w:val="false"/>
                <w:i w:val="false"/>
                <w:iCs w:val="false"/>
                <w:sz w:val="18"/>
                <w:szCs w:val="18"/>
              </w:rPr>
              <w:t xml:space="preserve">39 in above grade when deployed</w:t>
            </w:r>
          </w:p>
        </w:tc>
      </w:tr>
      <w:tr>
        <w:trPr>
          <w:cantSplit/>
          <w:tblHeader w:val="false"/>
        </w:trPr>
        <w:tc>
          <w:tcPr>
            <w:tcW w:type="dxa" w:w="3400"/>
            <w:tcMar>
              <w:top w:type="dxa" w:w="60"/>
              <w:left w:type="dxa" w:w="100"/>
              <w:bottom w:type="dxa" w:w="60"/>
              <w:right w:type="dxa" w:w="100"/>
            </w:tcMar>
          </w:tcPr>
          <w:p>
            <w:r>
              <w:rPr>
                <w:rFonts w:ascii="Arial" w:cs="Arial" w:eastAsia="Arial" w:hAnsi="Arial"/>
                <w:b w:val="false"/>
                <w:bCs w:val="false"/>
                <w:i w:val="false"/>
                <w:iCs w:val="false"/>
                <w:sz w:val="18"/>
                <w:szCs w:val="18"/>
              </w:rPr>
              <w:t xml:space="preserve">Blocking width</w:t>
            </w:r>
          </w:p>
        </w:tc>
        <w:tc>
          <w:tcPr>
            <w:tcW w:type="dxa" w:w="5960"/>
            <w:tcMar>
              <w:top w:type="dxa" w:w="60"/>
              <w:left w:type="dxa" w:w="100"/>
              <w:bottom w:type="dxa" w:w="60"/>
              <w:right w:type="dxa" w:w="100"/>
            </w:tcMar>
          </w:tcPr>
          <w:p>
            <w:r>
              <w:rPr>
                <w:rFonts w:ascii="Arial" w:cs="Arial" w:eastAsia="Arial" w:hAnsi="Arial"/>
                <w:b w:val="false"/>
                <w:bCs w:val="false"/>
                <w:i w:val="false"/>
                <w:iCs w:val="false"/>
                <w:sz w:val="18"/>
                <w:szCs w:val="18"/>
              </w:rPr>
              <w:t xml:space="preserve">[Insert] feet to the clear lane, per Paragraph 2.03.E</w:t>
            </w:r>
          </w:p>
        </w:tc>
      </w:tr>
      <w:tr>
        <w:trPr>
          <w:cantSplit/>
          <w:tblHeader w:val="false"/>
        </w:trPr>
        <w:tc>
          <w:tcPr>
            <w:tcW w:type="dxa" w:w="3400"/>
            <w:tcMar>
              <w:top w:type="dxa" w:w="60"/>
              <w:left w:type="dxa" w:w="100"/>
              <w:bottom w:type="dxa" w:w="60"/>
              <w:right w:type="dxa" w:w="100"/>
            </w:tcMar>
          </w:tcPr>
          <w:p>
            <w:r>
              <w:rPr>
                <w:rFonts w:ascii="Arial" w:cs="Arial" w:eastAsia="Arial" w:hAnsi="Arial"/>
                <w:b w:val="false"/>
                <w:bCs w:val="false"/>
                <w:i w:val="false"/>
                <w:iCs w:val="false"/>
                <w:sz w:val="18"/>
                <w:szCs w:val="18"/>
              </w:rPr>
              <w:t xml:space="preserve">Number of units</w:t>
            </w:r>
          </w:p>
        </w:tc>
        <w:tc>
          <w:tcPr>
            <w:tcW w:type="dxa" w:w="5960"/>
            <w:tcMar>
              <w:top w:type="dxa" w:w="60"/>
              <w:left w:type="dxa" w:w="100"/>
              <w:bottom w:type="dxa" w:w="60"/>
              <w:right w:type="dxa" w:w="100"/>
            </w:tcMar>
          </w:tcPr>
          <w:p>
            <w:r>
              <w:rPr>
                <w:rFonts w:ascii="Arial" w:cs="Arial" w:eastAsia="Arial" w:hAnsi="Arial"/>
                <w:b w:val="false"/>
                <w:bCs w:val="false"/>
                <w:i w:val="false"/>
                <w:iCs w:val="false"/>
                <w:sz w:val="18"/>
                <w:szCs w:val="18"/>
              </w:rPr>
              <w:t xml:space="preserve">[One] [Insert, side by side per Paragraph 2.03.F]</w:t>
            </w:r>
          </w:p>
        </w:tc>
      </w:tr>
      <w:tr>
        <w:trPr>
          <w:cantSplit/>
          <w:tblHeader w:val="false"/>
        </w:trPr>
        <w:tc>
          <w:tcPr>
            <w:tcW w:type="dxa" w:w="3400"/>
            <w:tcMar>
              <w:top w:type="dxa" w:w="60"/>
              <w:left w:type="dxa" w:w="100"/>
              <w:bottom w:type="dxa" w:w="60"/>
              <w:right w:type="dxa" w:w="100"/>
            </w:tcMar>
          </w:tcPr>
          <w:p>
            <w:r>
              <w:rPr>
                <w:rFonts w:ascii="Arial" w:cs="Arial" w:eastAsia="Arial" w:hAnsi="Arial"/>
                <w:b w:val="false"/>
                <w:bCs w:val="false"/>
                <w:i w:val="false"/>
                <w:iCs w:val="false"/>
                <w:sz w:val="18"/>
                <w:szCs w:val="18"/>
              </w:rPr>
              <w:t xml:space="preserve">Retracted profile</w:t>
            </w:r>
          </w:p>
        </w:tc>
        <w:tc>
          <w:tcPr>
            <w:tcW w:type="dxa" w:w="5960"/>
            <w:tcMar>
              <w:top w:type="dxa" w:w="60"/>
              <w:left w:type="dxa" w:w="100"/>
              <w:bottom w:type="dxa" w:w="60"/>
              <w:right w:type="dxa" w:w="100"/>
            </w:tcMar>
          </w:tcPr>
          <w:p>
            <w:r>
              <w:rPr>
                <w:rFonts w:ascii="Arial" w:cs="Arial" w:eastAsia="Arial" w:hAnsi="Arial"/>
                <w:b w:val="false"/>
                <w:bCs w:val="false"/>
                <w:i w:val="false"/>
                <w:iCs w:val="false"/>
                <w:sz w:val="18"/>
                <w:szCs w:val="18"/>
              </w:rPr>
              <w:t xml:space="preserve">Flush with the running surface; spaces between the fingers filled with solid concrete</w:t>
            </w:r>
          </w:p>
        </w:tc>
      </w:tr>
      <w:tr>
        <w:trPr>
          <w:cantSplit/>
          <w:tblHeader w:val="false"/>
        </w:trPr>
        <w:tc>
          <w:tcPr>
            <w:tcW w:type="dxa" w:w="3400"/>
            <w:tcMar>
              <w:top w:type="dxa" w:w="60"/>
              <w:left w:type="dxa" w:w="100"/>
              <w:bottom w:type="dxa" w:w="60"/>
              <w:right w:type="dxa" w:w="100"/>
            </w:tcMar>
          </w:tcPr>
          <w:p>
            <w:r>
              <w:rPr>
                <w:rFonts w:ascii="Arial" w:cs="Arial" w:eastAsia="Arial" w:hAnsi="Arial"/>
                <w:b w:val="false"/>
                <w:bCs w:val="false"/>
                <w:i w:val="false"/>
                <w:iCs w:val="false"/>
                <w:sz w:val="18"/>
                <w:szCs w:val="18"/>
              </w:rPr>
              <w:t xml:space="preserve">Foundation</w:t>
            </w:r>
          </w:p>
        </w:tc>
        <w:tc>
          <w:tcPr>
            <w:tcW w:type="dxa" w:w="5960"/>
            <w:tcMar>
              <w:top w:type="dxa" w:w="60"/>
              <w:left w:type="dxa" w:w="100"/>
              <w:bottom w:type="dxa" w:w="60"/>
              <w:right w:type="dxa" w:w="100"/>
            </w:tcMar>
          </w:tcPr>
          <w:p>
            <w:r>
              <w:rPr>
                <w:rFonts w:ascii="Arial" w:cs="Arial" w:eastAsia="Arial" w:hAnsi="Arial"/>
                <w:b w:val="false"/>
                <w:bCs w:val="false"/>
                <w:i w:val="false"/>
                <w:iCs w:val="false"/>
                <w:sz w:val="18"/>
                <w:szCs w:val="18"/>
              </w:rPr>
              <w:t xml:space="preserve">Shallow reinforced concrete slab per Article 1.06; no pit or chamber below the barrier</w:t>
            </w:r>
          </w:p>
        </w:tc>
      </w:tr>
      <w:tr>
        <w:trPr>
          <w:cantSplit/>
          <w:tblHeader w:val="false"/>
        </w:trPr>
        <w:tc>
          <w:tcPr>
            <w:tcW w:type="dxa" w:w="3400"/>
            <w:tcMar>
              <w:top w:type="dxa" w:w="60"/>
              <w:left w:type="dxa" w:w="100"/>
              <w:bottom w:type="dxa" w:w="60"/>
              <w:right w:type="dxa" w:w="100"/>
            </w:tcMar>
          </w:tcPr>
          <w:p>
            <w:r>
              <w:rPr>
                <w:rFonts w:ascii="Arial" w:cs="Arial" w:eastAsia="Arial" w:hAnsi="Arial"/>
                <w:b w:val="false"/>
                <w:bCs w:val="false"/>
                <w:i w:val="false"/>
                <w:iCs w:val="false"/>
                <w:sz w:val="18"/>
                <w:szCs w:val="18"/>
              </w:rPr>
              <w:t xml:space="preserve">Drive</w:t>
            </w:r>
          </w:p>
        </w:tc>
        <w:tc>
          <w:tcPr>
            <w:tcW w:type="dxa" w:w="5960"/>
            <w:tcMar>
              <w:top w:type="dxa" w:w="60"/>
              <w:left w:type="dxa" w:w="100"/>
              <w:bottom w:type="dxa" w:w="60"/>
              <w:right w:type="dxa" w:w="100"/>
            </w:tcMar>
          </w:tcPr>
          <w:p>
            <w:r>
              <w:rPr>
                <w:rFonts w:ascii="Arial" w:cs="Arial" w:eastAsia="Arial" w:hAnsi="Arial"/>
                <w:b w:val="false"/>
                <w:bCs w:val="false"/>
                <w:i w:val="false"/>
                <w:iCs w:val="false"/>
                <w:sz w:val="18"/>
                <w:szCs w:val="18"/>
              </w:rPr>
              <w:t xml:space="preserve">[Hydraulic] [Hybrid] [Electric], per Article 2.05</w:t>
            </w:r>
          </w:p>
        </w:tc>
      </w:tr>
      <w:tr>
        <w:trPr>
          <w:cantSplit/>
          <w:tblHeader w:val="false"/>
        </w:trPr>
        <w:tc>
          <w:tcPr>
            <w:tcW w:type="dxa" w:w="3400"/>
            <w:tcMar>
              <w:top w:type="dxa" w:w="60"/>
              <w:left w:type="dxa" w:w="100"/>
              <w:bottom w:type="dxa" w:w="60"/>
              <w:right w:type="dxa" w:w="100"/>
            </w:tcMar>
          </w:tcPr>
          <w:p>
            <w:r>
              <w:rPr>
                <w:rFonts w:ascii="Arial" w:cs="Arial" w:eastAsia="Arial" w:hAnsi="Arial"/>
                <w:b w:val="false"/>
                <w:bCs w:val="false"/>
                <w:i w:val="false"/>
                <w:iCs w:val="false"/>
                <w:sz w:val="18"/>
                <w:szCs w:val="18"/>
              </w:rPr>
              <w:t xml:space="preserve">Cycle times</w:t>
            </w:r>
          </w:p>
        </w:tc>
        <w:tc>
          <w:tcPr>
            <w:tcW w:type="dxa" w:w="5960"/>
            <w:tcMar>
              <w:top w:type="dxa" w:w="60"/>
              <w:left w:type="dxa" w:w="100"/>
              <w:bottom w:type="dxa" w:w="60"/>
              <w:right w:type="dxa" w:w="100"/>
            </w:tcMar>
          </w:tcPr>
          <w:p>
            <w:r>
              <w:rPr>
                <w:rFonts w:ascii="Arial" w:cs="Arial" w:eastAsia="Arial" w:hAnsi="Arial"/>
                <w:b w:val="false"/>
                <w:bCs w:val="false"/>
                <w:i w:val="false"/>
                <w:iCs w:val="false"/>
                <w:sz w:val="18"/>
                <w:szCs w:val="18"/>
              </w:rPr>
              <w:t xml:space="preserve">Per Paragraph 2.02.F</w:t>
            </w:r>
          </w:p>
        </w:tc>
      </w:tr>
      <w:tr>
        <w:trPr>
          <w:cantSplit/>
          <w:tblHeader w:val="false"/>
        </w:trPr>
        <w:tc>
          <w:tcPr>
            <w:tcW w:type="dxa" w:w="3400"/>
            <w:tcMar>
              <w:top w:type="dxa" w:w="60"/>
              <w:left w:type="dxa" w:w="100"/>
              <w:bottom w:type="dxa" w:w="60"/>
              <w:right w:type="dxa" w:w="100"/>
            </w:tcMar>
          </w:tcPr>
          <w:p>
            <w:r>
              <w:rPr>
                <w:rFonts w:ascii="Arial" w:cs="Arial" w:eastAsia="Arial" w:hAnsi="Arial"/>
                <w:b w:val="false"/>
                <w:bCs w:val="false"/>
                <w:i w:val="false"/>
                <w:iCs w:val="false"/>
                <w:sz w:val="18"/>
                <w:szCs w:val="18"/>
              </w:rPr>
              <w:t xml:space="preserve">Rated cycling and design life</w:t>
            </w:r>
          </w:p>
        </w:tc>
        <w:tc>
          <w:tcPr>
            <w:tcW w:type="dxa" w:w="5960"/>
            <w:tcMar>
              <w:top w:type="dxa" w:w="60"/>
              <w:left w:type="dxa" w:w="100"/>
              <w:bottom w:type="dxa" w:w="60"/>
              <w:right w:type="dxa" w:w="100"/>
            </w:tcMar>
          </w:tcPr>
          <w:p>
            <w:r>
              <w:rPr>
                <w:rFonts w:ascii="Arial" w:cs="Arial" w:eastAsia="Arial" w:hAnsi="Arial"/>
                <w:b w:val="false"/>
                <w:bCs w:val="false"/>
                <w:i w:val="false"/>
                <w:iCs w:val="false"/>
                <w:sz w:val="18"/>
                <w:szCs w:val="18"/>
              </w:rPr>
              <w:t xml:space="preserve">Per Paragraph 2.02.G</w:t>
            </w:r>
          </w:p>
        </w:tc>
      </w:tr>
      <w:tr>
        <w:trPr>
          <w:cantSplit/>
          <w:tblHeader w:val="false"/>
        </w:trPr>
        <w:tc>
          <w:tcPr>
            <w:tcW w:type="dxa" w:w="3400"/>
            <w:tcMar>
              <w:top w:type="dxa" w:w="60"/>
              <w:left w:type="dxa" w:w="100"/>
              <w:bottom w:type="dxa" w:w="60"/>
              <w:right w:type="dxa" w:w="100"/>
            </w:tcMar>
          </w:tcPr>
          <w:p>
            <w:r>
              <w:rPr>
                <w:rFonts w:ascii="Arial" w:cs="Arial" w:eastAsia="Arial" w:hAnsi="Arial"/>
                <w:b w:val="false"/>
                <w:bCs w:val="false"/>
                <w:i w:val="false"/>
                <w:iCs w:val="false"/>
                <w:sz w:val="18"/>
                <w:szCs w:val="18"/>
              </w:rPr>
              <w:t xml:space="preserve">Operating ambient range</w:t>
            </w:r>
          </w:p>
        </w:tc>
        <w:tc>
          <w:tcPr>
            <w:tcW w:type="dxa" w:w="5960"/>
            <w:tcMar>
              <w:top w:type="dxa" w:w="60"/>
              <w:left w:type="dxa" w:w="100"/>
              <w:bottom w:type="dxa" w:w="60"/>
              <w:right w:type="dxa" w:w="100"/>
            </w:tcMar>
          </w:tcPr>
          <w:p>
            <w:r>
              <w:rPr>
                <w:rFonts w:ascii="Arial" w:cs="Arial" w:eastAsia="Arial" w:hAnsi="Arial"/>
                <w:b w:val="false"/>
                <w:bCs w:val="false"/>
                <w:i w:val="false"/>
                <w:iCs w:val="false"/>
                <w:sz w:val="18"/>
                <w:szCs w:val="18"/>
              </w:rPr>
              <w:t xml:space="preserve">Per Paragraph 2.02.H [; slab heater option]</w:t>
            </w:r>
          </w:p>
        </w:tc>
      </w:tr>
      <w:tr>
        <w:trPr>
          <w:cantSplit/>
          <w:tblHeader w:val="false"/>
        </w:trPr>
        <w:tc>
          <w:tcPr>
            <w:tcW w:type="dxa" w:w="3400"/>
            <w:tcMar>
              <w:top w:type="dxa" w:w="60"/>
              <w:left w:type="dxa" w:w="100"/>
              <w:bottom w:type="dxa" w:w="60"/>
              <w:right w:type="dxa" w:w="100"/>
            </w:tcMar>
          </w:tcPr>
          <w:p>
            <w:r>
              <w:rPr>
                <w:rFonts w:ascii="Arial" w:cs="Arial" w:eastAsia="Arial" w:hAnsi="Arial"/>
                <w:b w:val="false"/>
                <w:bCs w:val="false"/>
                <w:i w:val="false"/>
                <w:iCs w:val="false"/>
                <w:sz w:val="18"/>
                <w:szCs w:val="18"/>
              </w:rPr>
              <w:t xml:space="preserve">Power supply</w:t>
            </w:r>
          </w:p>
        </w:tc>
        <w:tc>
          <w:tcPr>
            <w:tcW w:type="dxa" w:w="5960"/>
            <w:tcMar>
              <w:top w:type="dxa" w:w="60"/>
              <w:left w:type="dxa" w:w="100"/>
              <w:bottom w:type="dxa" w:w="60"/>
              <w:right w:type="dxa" w:w="100"/>
            </w:tcMar>
          </w:tcPr>
          <w:p>
            <w:r>
              <w:rPr>
                <w:rFonts w:ascii="Arial" w:cs="Arial" w:eastAsia="Arial" w:hAnsi="Arial"/>
                <w:b w:val="false"/>
                <w:bCs w:val="false"/>
                <w:i w:val="false"/>
                <w:iCs w:val="false"/>
                <w:sz w:val="18"/>
                <w:szCs w:val="18"/>
              </w:rPr>
              <w:t xml:space="preserve">Per Paragraph 2.05.E</w:t>
            </w:r>
          </w:p>
        </w:tc>
      </w:tr>
      <w:tr>
        <w:trPr>
          <w:cantSplit/>
          <w:tblHeader w:val="false"/>
        </w:trPr>
        <w:tc>
          <w:tcPr>
            <w:tcW w:type="dxa" w:w="3400"/>
            <w:tcMar>
              <w:top w:type="dxa" w:w="60"/>
              <w:left w:type="dxa" w:w="100"/>
              <w:bottom w:type="dxa" w:w="60"/>
              <w:right w:type="dxa" w:w="100"/>
            </w:tcMar>
          </w:tcPr>
          <w:p>
            <w:r>
              <w:rPr>
                <w:rFonts w:ascii="Arial" w:cs="Arial" w:eastAsia="Arial" w:hAnsi="Arial"/>
                <w:b w:val="false"/>
                <w:bCs w:val="false"/>
                <w:i w:val="false"/>
                <w:iCs w:val="false"/>
                <w:sz w:val="18"/>
                <w:szCs w:val="18"/>
              </w:rPr>
              <w:t xml:space="preserve">Behavior on loss of power</w:t>
            </w:r>
          </w:p>
        </w:tc>
        <w:tc>
          <w:tcPr>
            <w:tcW w:type="dxa" w:w="5960"/>
            <w:tcMar>
              <w:top w:type="dxa" w:w="60"/>
              <w:left w:type="dxa" w:w="100"/>
              <w:bottom w:type="dxa" w:w="60"/>
              <w:right w:type="dxa" w:w="100"/>
            </w:tcMar>
          </w:tcPr>
          <w:p>
            <w:r>
              <w:rPr>
                <w:rFonts w:ascii="Arial" w:cs="Arial" w:eastAsia="Arial" w:hAnsi="Arial"/>
                <w:b w:val="false"/>
                <w:bCs w:val="false"/>
                <w:i w:val="false"/>
                <w:iCs w:val="false"/>
                <w:sz w:val="18"/>
                <w:szCs w:val="18"/>
              </w:rPr>
              <w:t xml:space="preserve">Per Paragraph 2.06.D [Insert Owner selection]</w:t>
            </w:r>
          </w:p>
        </w:tc>
      </w:tr>
      <w:tr>
        <w:trPr>
          <w:cantSplit/>
          <w:tblHeader w:val="false"/>
        </w:trPr>
        <w:tc>
          <w:tcPr>
            <w:tcW w:type="dxa" w:w="3400"/>
            <w:tcMar>
              <w:top w:type="dxa" w:w="60"/>
              <w:left w:type="dxa" w:w="100"/>
              <w:bottom w:type="dxa" w:w="60"/>
              <w:right w:type="dxa" w:w="100"/>
            </w:tcMar>
          </w:tcPr>
          <w:p>
            <w:r>
              <w:rPr>
                <w:rFonts w:ascii="Arial" w:cs="Arial" w:eastAsia="Arial" w:hAnsi="Arial"/>
                <w:b w:val="false"/>
                <w:bCs w:val="false"/>
                <w:i w:val="false"/>
                <w:iCs w:val="false"/>
                <w:sz w:val="18"/>
                <w:szCs w:val="18"/>
              </w:rPr>
              <w:t xml:space="preserve">Emergency Fast Operate and safety loop</w:t>
            </w:r>
          </w:p>
        </w:tc>
        <w:tc>
          <w:tcPr>
            <w:tcW w:type="dxa" w:w="5960"/>
            <w:tcMar>
              <w:top w:type="dxa" w:w="60"/>
              <w:left w:type="dxa" w:w="100"/>
              <w:bottom w:type="dxa" w:w="60"/>
              <w:right w:type="dxa" w:w="100"/>
            </w:tcMar>
          </w:tcPr>
          <w:p>
            <w:r>
              <w:rPr>
                <w:rFonts w:ascii="Arial" w:cs="Arial" w:eastAsia="Arial" w:hAnsi="Arial"/>
                <w:b w:val="false"/>
                <w:bCs w:val="false"/>
                <w:i w:val="false"/>
                <w:iCs w:val="false"/>
                <w:sz w:val="18"/>
                <w:szCs w:val="18"/>
              </w:rPr>
              <w:t xml:space="preserve">Per Paragraph 2.06.G</w:t>
            </w:r>
          </w:p>
        </w:tc>
      </w:tr>
      <w:tr>
        <w:trPr>
          <w:cantSplit/>
          <w:tblHeader w:val="false"/>
        </w:trPr>
        <w:tc>
          <w:tcPr>
            <w:tcW w:type="dxa" w:w="3400"/>
            <w:tcMar>
              <w:top w:type="dxa" w:w="60"/>
              <w:left w:type="dxa" w:w="100"/>
              <w:bottom w:type="dxa" w:w="60"/>
              <w:right w:type="dxa" w:w="100"/>
            </w:tcMar>
          </w:tcPr>
          <w:p>
            <w:r>
              <w:rPr>
                <w:rFonts w:ascii="Arial" w:cs="Arial" w:eastAsia="Arial" w:hAnsi="Arial"/>
                <w:b w:val="false"/>
                <w:bCs w:val="false"/>
                <w:i w:val="false"/>
                <w:iCs w:val="false"/>
                <w:sz w:val="18"/>
                <w:szCs w:val="18"/>
              </w:rPr>
              <w:t xml:space="preserve">Loop scheme</w:t>
            </w:r>
          </w:p>
        </w:tc>
        <w:tc>
          <w:tcPr>
            <w:tcW w:type="dxa" w:w="5960"/>
            <w:tcMar>
              <w:top w:type="dxa" w:w="60"/>
              <w:left w:type="dxa" w:w="100"/>
              <w:bottom w:type="dxa" w:w="60"/>
              <w:right w:type="dxa" w:w="100"/>
            </w:tcMar>
          </w:tcPr>
          <w:p>
            <w:r>
              <w:rPr>
                <w:rFonts w:ascii="Arial" w:cs="Arial" w:eastAsia="Arial" w:hAnsi="Arial"/>
                <w:b w:val="false"/>
                <w:bCs w:val="false"/>
                <w:i w:val="false"/>
                <w:iCs w:val="false"/>
                <w:sz w:val="18"/>
                <w:szCs w:val="18"/>
              </w:rPr>
              <w:t xml:space="preserve">[Arming loop] [Safety loop] [Exit loop]</w:t>
            </w:r>
          </w:p>
        </w:tc>
      </w:tr>
      <w:tr>
        <w:trPr>
          <w:cantSplit/>
          <w:tblHeader w:val="false"/>
        </w:trPr>
        <w:tc>
          <w:tcPr>
            <w:tcW w:type="dxa" w:w="3400"/>
            <w:tcMar>
              <w:top w:type="dxa" w:w="60"/>
              <w:left w:type="dxa" w:w="100"/>
              <w:bottom w:type="dxa" w:w="60"/>
              <w:right w:type="dxa" w:w="100"/>
            </w:tcMar>
          </w:tcPr>
          <w:p>
            <w:r>
              <w:rPr>
                <w:rFonts w:ascii="Arial" w:cs="Arial" w:eastAsia="Arial" w:hAnsi="Arial"/>
                <w:b w:val="false"/>
                <w:bCs w:val="false"/>
                <w:i w:val="false"/>
                <w:iCs w:val="false"/>
                <w:sz w:val="18"/>
                <w:szCs w:val="18"/>
              </w:rPr>
              <w:t xml:space="preserve">Controller</w:t>
            </w:r>
          </w:p>
        </w:tc>
        <w:tc>
          <w:tcPr>
            <w:tcW w:type="dxa" w:w="5960"/>
            <w:tcMar>
              <w:top w:type="dxa" w:w="60"/>
              <w:left w:type="dxa" w:w="100"/>
              <w:bottom w:type="dxa" w:w="60"/>
              <w:right w:type="dxa" w:w="100"/>
            </w:tcMar>
          </w:tcPr>
          <w:p>
            <w:r>
              <w:rPr>
                <w:rFonts w:ascii="Arial" w:cs="Arial" w:eastAsia="Arial" w:hAnsi="Arial"/>
                <w:b w:val="false"/>
                <w:bCs w:val="false"/>
                <w:i w:val="false"/>
                <w:iCs w:val="false"/>
                <w:sz w:val="18"/>
                <w:szCs w:val="18"/>
              </w:rPr>
              <w:t xml:space="preserve">PLC, relays and timers; delivered with its own control panel and enclosure</w:t>
            </w:r>
          </w:p>
        </w:tc>
      </w:tr>
      <w:tr>
        <w:trPr>
          <w:cantSplit/>
          <w:tblHeader w:val="false"/>
        </w:trPr>
        <w:tc>
          <w:tcPr>
            <w:tcW w:type="dxa" w:w="3400"/>
            <w:tcMar>
              <w:top w:type="dxa" w:w="60"/>
              <w:left w:type="dxa" w:w="100"/>
              <w:bottom w:type="dxa" w:w="60"/>
              <w:right w:type="dxa" w:w="100"/>
            </w:tcMar>
          </w:tcPr>
          <w:p>
            <w:r>
              <w:rPr>
                <w:rFonts w:ascii="Arial" w:cs="Arial" w:eastAsia="Arial" w:hAnsi="Arial"/>
                <w:b w:val="false"/>
                <w:bCs w:val="false"/>
                <w:i w:val="false"/>
                <w:iCs w:val="false"/>
                <w:sz w:val="18"/>
                <w:szCs w:val="18"/>
              </w:rPr>
              <w:t xml:space="preserve">Finish</w:t>
            </w:r>
          </w:p>
        </w:tc>
        <w:tc>
          <w:tcPr>
            <w:tcW w:type="dxa" w:w="5960"/>
            <w:tcMar>
              <w:top w:type="dxa" w:w="60"/>
              <w:left w:type="dxa" w:w="100"/>
              <w:bottom w:type="dxa" w:w="60"/>
              <w:right w:type="dxa" w:w="100"/>
            </w:tcMar>
          </w:tcPr>
          <w:p>
            <w:r>
              <w:rPr>
                <w:rFonts w:ascii="Arial" w:cs="Arial" w:eastAsia="Arial" w:hAnsi="Arial"/>
                <w:b w:val="false"/>
                <w:bCs w:val="false"/>
                <w:i w:val="false"/>
                <w:iCs w:val="false"/>
                <w:sz w:val="18"/>
                <w:szCs w:val="18"/>
              </w:rPr>
              <w:t xml:space="preserve">Galvanized; fingers powder coated, color per Paragraph 2.10.B; retroreflective sheeting per Paragraph 2.10.C</w:t>
            </w:r>
          </w:p>
        </w:tc>
      </w:tr>
    </w:tbl>
    <w:p>
      <w:pPr>
        <w:keepNext/>
        <w:spacing w:after="100" w:before="300"/>
        <w:ind w:left="360"/>
      </w:pPr>
      <w:r>
        <w:rPr>
          <w:rFonts w:ascii="Arial" w:cs="Arial" w:eastAsia="Arial" w:hAnsi="Arial"/>
          <w:b/>
          <w:bCs/>
          <w:i w:val="false"/>
          <w:iCs w:val="false"/>
          <w:sz w:val="20"/>
          <w:szCs w:val="20"/>
        </w:rPr>
        <w:t xml:space="preserve">Schedule 3 – Drive Selection</w:t>
      </w:r>
    </w:p>
    <w:tbl>
      <w:tblPr>
        <w:tblW w:type="auto" w:w="100"/>
        <w:tblBorders>
          <w:top w:val="single" w:color="auto" w:sz="4"/>
          <w:left w:val="single" w:color="auto" w:sz="4"/>
          <w:bottom w:val="single" w:color="auto" w:sz="4"/>
          <w:right w:val="single" w:color="auto" w:sz="4"/>
          <w:insideH w:val="single" w:color="auto" w:sz="4"/>
          <w:insideV w:val="single" w:color="auto" w:sz="4"/>
        </w:tblBorders>
      </w:tblPr>
      <w:tblGrid>
        <w:gridCol w:w="1800"/>
        <w:gridCol w:w="4360"/>
        <w:gridCol w:w="3200"/>
      </w:tblGrid>
      <w:tr>
        <w:trPr>
          <w:cantSplit/>
          <w:tblHeader/>
        </w:trPr>
        <w:tc>
          <w:tcPr>
            <w:tcW w:type="dxa" w:w="1800"/>
            <w:shd w:fill="E8E8E8" w:val="clear"/>
            <w:tcMar>
              <w:top w:type="dxa" w:w="60"/>
              <w:left w:type="dxa" w:w="100"/>
              <w:bottom w:type="dxa" w:w="60"/>
              <w:right w:type="dxa" w:w="100"/>
            </w:tcMar>
          </w:tcPr>
          <w:p>
            <w:r>
              <w:rPr>
                <w:rFonts w:ascii="Arial" w:cs="Arial" w:eastAsia="Arial" w:hAnsi="Arial"/>
                <w:b/>
                <w:bCs/>
                <w:i w:val="false"/>
                <w:iCs w:val="false"/>
                <w:sz w:val="18"/>
                <w:szCs w:val="18"/>
              </w:rPr>
              <w:t xml:space="preserve">Drive</w:t>
            </w:r>
          </w:p>
        </w:tc>
        <w:tc>
          <w:tcPr>
            <w:tcW w:type="dxa" w:w="4360"/>
            <w:shd w:fill="E8E8E8" w:val="clear"/>
            <w:tcMar>
              <w:top w:type="dxa" w:w="60"/>
              <w:left w:type="dxa" w:w="100"/>
              <w:bottom w:type="dxa" w:w="60"/>
              <w:right w:type="dxa" w:w="100"/>
            </w:tcMar>
          </w:tcPr>
          <w:p>
            <w:r>
              <w:rPr>
                <w:rFonts w:ascii="Arial" w:cs="Arial" w:eastAsia="Arial" w:hAnsi="Arial"/>
                <w:b/>
                <w:bCs/>
                <w:i w:val="false"/>
                <w:iCs w:val="false"/>
                <w:sz w:val="18"/>
                <w:szCs w:val="18"/>
              </w:rPr>
              <w:t xml:space="preserve">Actuation</w:t>
            </w:r>
          </w:p>
        </w:tc>
        <w:tc>
          <w:tcPr>
            <w:tcW w:type="dxa" w:w="3200"/>
            <w:shd w:fill="E8E8E8" w:val="clear"/>
            <w:tcMar>
              <w:top w:type="dxa" w:w="60"/>
              <w:left w:type="dxa" w:w="100"/>
              <w:bottom w:type="dxa" w:w="60"/>
              <w:right w:type="dxa" w:w="100"/>
            </w:tcMar>
          </w:tcPr>
          <w:p>
            <w:r>
              <w:rPr>
                <w:rFonts w:ascii="Arial" w:cs="Arial" w:eastAsia="Arial" w:hAnsi="Arial"/>
                <w:b/>
                <w:bCs/>
                <w:i w:val="false"/>
                <w:iCs w:val="false"/>
                <w:sz w:val="18"/>
                <w:szCs w:val="18"/>
              </w:rPr>
              <w:t xml:space="preserve">Fluid on site</w:t>
            </w:r>
          </w:p>
        </w:tc>
      </w:tr>
      <w:tr>
        <w:trPr>
          <w:cantSplit/>
          <w:tblHeader w:val="false"/>
        </w:trPr>
        <w:tc>
          <w:tcPr>
            <w:tcW w:type="dxa" w:w="1800"/>
            <w:tcMar>
              <w:top w:type="dxa" w:w="60"/>
              <w:left w:type="dxa" w:w="100"/>
              <w:bottom w:type="dxa" w:w="60"/>
              <w:right w:type="dxa" w:w="100"/>
            </w:tcMar>
          </w:tcPr>
          <w:p>
            <w:r>
              <w:rPr>
                <w:rFonts w:ascii="Arial" w:cs="Arial" w:eastAsia="Arial" w:hAnsi="Arial"/>
                <w:b w:val="false"/>
                <w:bCs w:val="false"/>
                <w:i w:val="false"/>
                <w:iCs w:val="false"/>
                <w:sz w:val="18"/>
                <w:szCs w:val="18"/>
              </w:rPr>
              <w:t xml:space="preserve">[Hydraulic]</w:t>
            </w:r>
          </w:p>
        </w:tc>
        <w:tc>
          <w:tcPr>
            <w:tcW w:type="dxa" w:w="4360"/>
            <w:tcMar>
              <w:top w:type="dxa" w:w="60"/>
              <w:left w:type="dxa" w:w="100"/>
              <w:bottom w:type="dxa" w:w="60"/>
              <w:right w:type="dxa" w:w="100"/>
            </w:tcMar>
          </w:tcPr>
          <w:p>
            <w:r>
              <w:rPr>
                <w:rFonts w:ascii="Arial" w:cs="Arial" w:eastAsia="Arial" w:hAnsi="Arial"/>
                <w:b w:val="false"/>
                <w:bCs w:val="false"/>
                <w:i w:val="false"/>
                <w:iCs w:val="false"/>
                <w:sz w:val="18"/>
                <w:szCs w:val="18"/>
              </w:rPr>
              <w:t xml:space="preserve">Hydraulic power unit driving the wedge actuator</w:t>
            </w:r>
          </w:p>
        </w:tc>
        <w:tc>
          <w:tcPr>
            <w:tcW w:type="dxa" w:w="3200"/>
            <w:tcMar>
              <w:top w:type="dxa" w:w="60"/>
              <w:left w:type="dxa" w:w="100"/>
              <w:bottom w:type="dxa" w:w="60"/>
              <w:right w:type="dxa" w:w="100"/>
            </w:tcMar>
          </w:tcPr>
          <w:p>
            <w:r>
              <w:rPr>
                <w:rFonts w:ascii="Arial" w:cs="Arial" w:eastAsia="Arial" w:hAnsi="Arial"/>
                <w:b w:val="false"/>
                <w:bCs w:val="false"/>
                <w:i w:val="false"/>
                <w:iCs w:val="false"/>
                <w:sz w:val="18"/>
                <w:szCs w:val="18"/>
              </w:rPr>
              <w:t xml:space="preserve">Reservoir and hose runs</w:t>
            </w:r>
          </w:p>
        </w:tc>
      </w:tr>
      <w:tr>
        <w:trPr>
          <w:cantSplit/>
          <w:tblHeader w:val="false"/>
        </w:trPr>
        <w:tc>
          <w:tcPr>
            <w:tcW w:type="dxa" w:w="1800"/>
            <w:tcMar>
              <w:top w:type="dxa" w:w="60"/>
              <w:left w:type="dxa" w:w="100"/>
              <w:bottom w:type="dxa" w:w="60"/>
              <w:right w:type="dxa" w:w="100"/>
            </w:tcMar>
          </w:tcPr>
          <w:p>
            <w:r>
              <w:rPr>
                <w:rFonts w:ascii="Arial" w:cs="Arial" w:eastAsia="Arial" w:hAnsi="Arial"/>
                <w:b w:val="false"/>
                <w:bCs w:val="false"/>
                <w:i w:val="false"/>
                <w:iCs w:val="false"/>
                <w:sz w:val="18"/>
                <w:szCs w:val="18"/>
              </w:rPr>
              <w:t xml:space="preserve">[Hybrid]</w:t>
            </w:r>
          </w:p>
        </w:tc>
        <w:tc>
          <w:tcPr>
            <w:tcW w:type="dxa" w:w="4360"/>
            <w:tcMar>
              <w:top w:type="dxa" w:w="60"/>
              <w:left w:type="dxa" w:w="100"/>
              <w:bottom w:type="dxa" w:w="60"/>
              <w:right w:type="dxa" w:w="100"/>
            </w:tcMar>
          </w:tcPr>
          <w:p>
            <w:r>
              <w:rPr>
                <w:rFonts w:ascii="Arial" w:cs="Arial" w:eastAsia="Arial" w:hAnsi="Arial"/>
                <w:b w:val="false"/>
                <w:bCs w:val="false"/>
                <w:i w:val="false"/>
                <w:iCs w:val="false"/>
                <w:sz w:val="18"/>
                <w:szCs w:val="18"/>
              </w:rPr>
              <w:t xml:space="preserve">Hydraulic actuation, minimal self contained fluid</w:t>
            </w:r>
          </w:p>
        </w:tc>
        <w:tc>
          <w:tcPr>
            <w:tcW w:type="dxa" w:w="3200"/>
            <w:tcMar>
              <w:top w:type="dxa" w:w="60"/>
              <w:left w:type="dxa" w:w="100"/>
              <w:bottom w:type="dxa" w:w="60"/>
              <w:right w:type="dxa" w:w="100"/>
            </w:tcMar>
          </w:tcPr>
          <w:p>
            <w:r>
              <w:rPr>
                <w:rFonts w:ascii="Arial" w:cs="Arial" w:eastAsia="Arial" w:hAnsi="Arial"/>
                <w:b w:val="false"/>
                <w:bCs w:val="false"/>
                <w:i w:val="false"/>
                <w:iCs w:val="false"/>
                <w:sz w:val="18"/>
                <w:szCs w:val="18"/>
              </w:rPr>
              <w:t xml:space="preserve">No hydraulic hoses</w:t>
            </w:r>
          </w:p>
        </w:tc>
      </w:tr>
      <w:tr>
        <w:trPr>
          <w:cantSplit/>
          <w:tblHeader w:val="false"/>
        </w:trPr>
        <w:tc>
          <w:tcPr>
            <w:tcW w:type="dxa" w:w="1800"/>
            <w:tcMar>
              <w:top w:type="dxa" w:w="60"/>
              <w:left w:type="dxa" w:w="100"/>
              <w:bottom w:type="dxa" w:w="60"/>
              <w:right w:type="dxa" w:w="100"/>
            </w:tcMar>
          </w:tcPr>
          <w:p>
            <w:r>
              <w:rPr>
                <w:rFonts w:ascii="Arial" w:cs="Arial" w:eastAsia="Arial" w:hAnsi="Arial"/>
                <w:b w:val="false"/>
                <w:bCs w:val="false"/>
                <w:i w:val="false"/>
                <w:iCs w:val="false"/>
                <w:sz w:val="18"/>
                <w:szCs w:val="18"/>
              </w:rPr>
              <w:t xml:space="preserve">[Electric]</w:t>
            </w:r>
          </w:p>
        </w:tc>
        <w:tc>
          <w:tcPr>
            <w:tcW w:type="dxa" w:w="4360"/>
            <w:tcMar>
              <w:top w:type="dxa" w:w="60"/>
              <w:left w:type="dxa" w:w="100"/>
              <w:bottom w:type="dxa" w:w="60"/>
              <w:right w:type="dxa" w:w="100"/>
            </w:tcMar>
          </w:tcPr>
          <w:p>
            <w:r>
              <w:rPr>
                <w:rFonts w:ascii="Arial" w:cs="Arial" w:eastAsia="Arial" w:hAnsi="Arial"/>
                <w:b w:val="false"/>
                <w:bCs w:val="false"/>
                <w:i w:val="false"/>
                <w:iCs w:val="false"/>
                <w:sz w:val="18"/>
                <w:szCs w:val="18"/>
              </w:rPr>
              <w:t xml:space="preserve">Electric cylinder: servo motor with brake, gear reducer and ball screw</w:t>
            </w:r>
          </w:p>
        </w:tc>
        <w:tc>
          <w:tcPr>
            <w:tcW w:type="dxa" w:w="3200"/>
            <w:tcMar>
              <w:top w:type="dxa" w:w="60"/>
              <w:left w:type="dxa" w:w="100"/>
              <w:bottom w:type="dxa" w:w="60"/>
              <w:right w:type="dxa" w:w="100"/>
            </w:tcMar>
          </w:tcPr>
          <w:p>
            <w:r>
              <w:rPr>
                <w:rFonts w:ascii="Arial" w:cs="Arial" w:eastAsia="Arial" w:hAnsi="Arial"/>
                <w:b w:val="false"/>
                <w:bCs w:val="false"/>
                <w:i w:val="false"/>
                <w:iCs w:val="false"/>
                <w:sz w:val="18"/>
                <w:szCs w:val="18"/>
              </w:rPr>
              <w:t xml:space="preserve">None</w:t>
            </w:r>
          </w:p>
        </w:tc>
      </w:tr>
    </w:tbl>
    <w:p>
      <w:pPr>
        <w:pStyle w:val="SpecifierNote"/>
        <w:pBdr>
          <w:top w:val="single" w:color="1F5C99" w:sz="4" w:space="4"/>
          <w:bottom w:val="single" w:color="1F5C99" w:sz="4" w:space="4"/>
          <w:left w:val="single" w:color="1F5C99" w:sz="4" w:space="4"/>
          <w:right w:val="single" w:color="1F5C99" w:sz="4" w:space="4"/>
        </w:pBdr>
        <w:shd w:fill="EEF3FA" w:val="clear"/>
        <w:spacing w:after="140" w:before="140"/>
        <w:ind w:left="360" w:right="360"/>
      </w:pPr>
      <w:r>
        <w:rPr>
          <w:rFonts w:ascii="Arial" w:cs="Arial" w:eastAsia="Arial" w:hAnsi="Arial"/>
          <w:b/>
          <w:bCs/>
          <w:i/>
          <w:iCs/>
          <w:color w:val="1F5C99"/>
          <w:sz w:val="18"/>
          <w:szCs w:val="18"/>
        </w:rPr>
        <w:t xml:space="preserve">SPECIFIER NOTE: </w:t>
      </w:r>
      <w:r>
        <w:rPr>
          <w:rFonts w:ascii="Arial" w:cs="Arial" w:eastAsia="Arial" w:hAnsi="Arial"/>
          <w:b w:val="false"/>
          <w:bCs w:val="false"/>
          <w:i/>
          <w:iCs/>
          <w:color w:val="1F5C99"/>
          <w:sz w:val="18"/>
          <w:szCs w:val="18"/>
        </w:rPr>
        <w:t xml:space="preserve">Select the hydraulic drive where hydraulic fluid on site is acceptable; the hybrid drive where hydraulic actuation is wanted without hydraulic hoses on site; the electric drive where the site or the specification does not permit hydraulic fluid. The crash rating applies to the drive types stated on the crash test certification; for any other drive, submit the Rating Applicability Letter required by Paragraph 1.08.B. Cycle times are the same for all three drives. Delete this note before issue.</w:t>
      </w:r>
    </w:p>
    <w:p>
      <w:pPr>
        <w:keepNext/>
        <w:spacing w:after="100" w:before="300"/>
        <w:ind w:left="360"/>
      </w:pPr>
      <w:r>
        <w:rPr>
          <w:rFonts w:ascii="Arial" w:cs="Arial" w:eastAsia="Arial" w:hAnsi="Arial"/>
          <w:b/>
          <w:bCs/>
          <w:i w:val="false"/>
          <w:iCs w:val="false"/>
          <w:sz w:val="20"/>
          <w:szCs w:val="20"/>
        </w:rPr>
        <w:t xml:space="preserve">Schedule 4 – Operating Modes</w:t>
      </w:r>
    </w:p>
    <w:tbl>
      <w:tblPr>
        <w:tblW w:type="auto" w:w="100"/>
        <w:tblBorders>
          <w:top w:val="single" w:color="auto" w:sz="4"/>
          <w:left w:val="single" w:color="auto" w:sz="4"/>
          <w:bottom w:val="single" w:color="auto" w:sz="4"/>
          <w:right w:val="single" w:color="auto" w:sz="4"/>
          <w:insideH w:val="single" w:color="auto" w:sz="4"/>
          <w:insideV w:val="single" w:color="auto" w:sz="4"/>
        </w:tblBorders>
      </w:tblPr>
      <w:tblGrid>
        <w:gridCol w:w="2400"/>
        <w:gridCol w:w="2200"/>
        <w:gridCol w:w="4760"/>
      </w:tblGrid>
      <w:tr>
        <w:trPr>
          <w:cantSplit/>
          <w:tblHeader/>
        </w:trPr>
        <w:tc>
          <w:tcPr>
            <w:tcW w:type="dxa" w:w="2400"/>
            <w:shd w:fill="E8E8E8" w:val="clear"/>
            <w:tcMar>
              <w:top w:type="dxa" w:w="60"/>
              <w:left w:type="dxa" w:w="100"/>
              <w:bottom w:type="dxa" w:w="60"/>
              <w:right w:type="dxa" w:w="100"/>
            </w:tcMar>
          </w:tcPr>
          <w:p>
            <w:r>
              <w:rPr>
                <w:rFonts w:ascii="Arial" w:cs="Arial" w:eastAsia="Arial" w:hAnsi="Arial"/>
                <w:b/>
                <w:bCs/>
                <w:i w:val="false"/>
                <w:iCs w:val="false"/>
                <w:sz w:val="18"/>
                <w:szCs w:val="18"/>
              </w:rPr>
              <w:t xml:space="preserve">From position</w:t>
            </w:r>
          </w:p>
        </w:tc>
        <w:tc>
          <w:tcPr>
            <w:tcW w:type="dxa" w:w="2200"/>
            <w:shd w:fill="E8E8E8" w:val="clear"/>
            <w:tcMar>
              <w:top w:type="dxa" w:w="60"/>
              <w:left w:type="dxa" w:w="100"/>
              <w:bottom w:type="dxa" w:w="60"/>
              <w:right w:type="dxa" w:w="100"/>
            </w:tcMar>
          </w:tcPr>
          <w:p>
            <w:r>
              <w:rPr>
                <w:rFonts w:ascii="Arial" w:cs="Arial" w:eastAsia="Arial" w:hAnsi="Arial"/>
                <w:b/>
                <w:bCs/>
                <w:i w:val="false"/>
                <w:iCs w:val="false"/>
                <w:sz w:val="18"/>
                <w:szCs w:val="18"/>
              </w:rPr>
              <w:t xml:space="preserve">Input</w:t>
            </w:r>
          </w:p>
        </w:tc>
        <w:tc>
          <w:tcPr>
            <w:tcW w:type="dxa" w:w="4760"/>
            <w:shd w:fill="E8E8E8" w:val="clear"/>
            <w:tcMar>
              <w:top w:type="dxa" w:w="60"/>
              <w:left w:type="dxa" w:w="100"/>
              <w:bottom w:type="dxa" w:w="60"/>
              <w:right w:type="dxa" w:w="100"/>
            </w:tcMar>
          </w:tcPr>
          <w:p>
            <w:r>
              <w:rPr>
                <w:rFonts w:ascii="Arial" w:cs="Arial" w:eastAsia="Arial" w:hAnsi="Arial"/>
                <w:b/>
                <w:bCs/>
                <w:i w:val="false"/>
                <w:iCs w:val="false"/>
                <w:sz w:val="18"/>
                <w:szCs w:val="18"/>
              </w:rPr>
              <w:t xml:space="preserve">Result</w:t>
            </w:r>
          </w:p>
        </w:tc>
      </w:tr>
      <w:tr>
        <w:trPr>
          <w:cantSplit/>
          <w:tblHeader w:val="false"/>
        </w:trPr>
        <w:tc>
          <w:tcPr>
            <w:tcW w:type="dxa" w:w="2400"/>
            <w:tcMar>
              <w:top w:type="dxa" w:w="60"/>
              <w:left w:type="dxa" w:w="100"/>
              <w:bottom w:type="dxa" w:w="60"/>
              <w:right w:type="dxa" w:w="100"/>
            </w:tcMar>
          </w:tcPr>
          <w:p>
            <w:r>
              <w:rPr>
                <w:rFonts w:ascii="Arial" w:cs="Arial" w:eastAsia="Arial" w:hAnsi="Arial"/>
                <w:b w:val="false"/>
                <w:bCs w:val="false"/>
                <w:i w:val="false"/>
                <w:iCs w:val="false"/>
                <w:sz w:val="18"/>
                <w:szCs w:val="18"/>
              </w:rPr>
              <w:t xml:space="preserve">Open</w:t>
            </w:r>
          </w:p>
        </w:tc>
        <w:tc>
          <w:tcPr>
            <w:tcW w:type="dxa" w:w="2200"/>
            <w:tcMar>
              <w:top w:type="dxa" w:w="60"/>
              <w:left w:type="dxa" w:w="100"/>
              <w:bottom w:type="dxa" w:w="60"/>
              <w:right w:type="dxa" w:w="100"/>
            </w:tcMar>
          </w:tcPr>
          <w:p>
            <w:r>
              <w:rPr>
                <w:rFonts w:ascii="Arial" w:cs="Arial" w:eastAsia="Arial" w:hAnsi="Arial"/>
                <w:b w:val="false"/>
                <w:bCs w:val="false"/>
                <w:i w:val="false"/>
                <w:iCs w:val="false"/>
                <w:sz w:val="18"/>
                <w:szCs w:val="18"/>
              </w:rPr>
              <w:t xml:space="preserve">Emergency Fast Operate</w:t>
            </w:r>
          </w:p>
        </w:tc>
        <w:tc>
          <w:tcPr>
            <w:tcW w:type="dxa" w:w="4760"/>
            <w:tcMar>
              <w:top w:type="dxa" w:w="60"/>
              <w:left w:type="dxa" w:w="100"/>
              <w:bottom w:type="dxa" w:w="60"/>
              <w:right w:type="dxa" w:w="100"/>
            </w:tcMar>
          </w:tcPr>
          <w:p>
            <w:r>
              <w:rPr>
                <w:rFonts w:ascii="Arial" w:cs="Arial" w:eastAsia="Arial" w:hAnsi="Arial"/>
                <w:b w:val="false"/>
                <w:bCs w:val="false"/>
                <w:i w:val="false"/>
                <w:iCs w:val="false"/>
                <w:sz w:val="18"/>
                <w:szCs w:val="18"/>
              </w:rPr>
              <w:t xml:space="preserve">Secure position at the Emergency Fast Operate time of Paragraph 2.02.F; alarm sounds until keyed reset</w:t>
            </w:r>
          </w:p>
        </w:tc>
      </w:tr>
      <w:tr>
        <w:trPr>
          <w:cantSplit/>
          <w:tblHeader w:val="false"/>
        </w:trPr>
        <w:tc>
          <w:tcPr>
            <w:tcW w:type="dxa" w:w="2400"/>
            <w:tcMar>
              <w:top w:type="dxa" w:w="60"/>
              <w:left w:type="dxa" w:w="100"/>
              <w:bottom w:type="dxa" w:w="60"/>
              <w:right w:type="dxa" w:w="100"/>
            </w:tcMar>
          </w:tcPr>
          <w:p>
            <w:r>
              <w:rPr>
                <w:rFonts w:ascii="Arial" w:cs="Arial" w:eastAsia="Arial" w:hAnsi="Arial"/>
                <w:b w:val="false"/>
                <w:bCs w:val="false"/>
                <w:i w:val="false"/>
                <w:iCs w:val="false"/>
                <w:sz w:val="18"/>
                <w:szCs w:val="18"/>
              </w:rPr>
              <w:t xml:space="preserve">Open</w:t>
            </w:r>
          </w:p>
        </w:tc>
        <w:tc>
          <w:tcPr>
            <w:tcW w:type="dxa" w:w="2200"/>
            <w:tcMar>
              <w:top w:type="dxa" w:w="60"/>
              <w:left w:type="dxa" w:w="100"/>
              <w:bottom w:type="dxa" w:w="60"/>
              <w:right w:type="dxa" w:w="100"/>
            </w:tcMar>
          </w:tcPr>
          <w:p>
            <w:r>
              <w:rPr>
                <w:rFonts w:ascii="Arial" w:cs="Arial" w:eastAsia="Arial" w:hAnsi="Arial"/>
                <w:b w:val="false"/>
                <w:bCs w:val="false"/>
                <w:i w:val="false"/>
                <w:iCs w:val="false"/>
                <w:sz w:val="18"/>
                <w:szCs w:val="18"/>
              </w:rPr>
              <w:t xml:space="preserve">Close</w:t>
            </w:r>
          </w:p>
        </w:tc>
        <w:tc>
          <w:tcPr>
            <w:tcW w:type="dxa" w:w="4760"/>
            <w:tcMar>
              <w:top w:type="dxa" w:w="60"/>
              <w:left w:type="dxa" w:w="100"/>
              <w:bottom w:type="dxa" w:w="60"/>
              <w:right w:type="dxa" w:w="100"/>
            </w:tcMar>
          </w:tcPr>
          <w:p>
            <w:r>
              <w:rPr>
                <w:rFonts w:ascii="Arial" w:cs="Arial" w:eastAsia="Arial" w:hAnsi="Arial"/>
                <w:b w:val="false"/>
                <w:bCs w:val="false"/>
                <w:i w:val="false"/>
                <w:iCs w:val="false"/>
                <w:sz w:val="18"/>
                <w:szCs w:val="18"/>
              </w:rPr>
              <w:t xml:space="preserve">Secure position at the normal cycle time of Paragraph 2.02.F</w:t>
            </w:r>
          </w:p>
        </w:tc>
      </w:tr>
      <w:tr>
        <w:trPr>
          <w:cantSplit/>
          <w:tblHeader w:val="false"/>
        </w:trPr>
        <w:tc>
          <w:tcPr>
            <w:tcW w:type="dxa" w:w="2400"/>
            <w:tcMar>
              <w:top w:type="dxa" w:w="60"/>
              <w:left w:type="dxa" w:w="100"/>
              <w:bottom w:type="dxa" w:w="60"/>
              <w:right w:type="dxa" w:w="100"/>
            </w:tcMar>
          </w:tcPr>
          <w:p>
            <w:r>
              <w:rPr>
                <w:rFonts w:ascii="Arial" w:cs="Arial" w:eastAsia="Arial" w:hAnsi="Arial"/>
                <w:b w:val="false"/>
                <w:bCs w:val="false"/>
                <w:i w:val="false"/>
                <w:iCs w:val="false"/>
                <w:sz w:val="18"/>
                <w:szCs w:val="18"/>
              </w:rPr>
              <w:t xml:space="preserve">Closed</w:t>
            </w:r>
          </w:p>
        </w:tc>
        <w:tc>
          <w:tcPr>
            <w:tcW w:type="dxa" w:w="2200"/>
            <w:tcMar>
              <w:top w:type="dxa" w:w="60"/>
              <w:left w:type="dxa" w:w="100"/>
              <w:bottom w:type="dxa" w:w="60"/>
              <w:right w:type="dxa" w:w="100"/>
            </w:tcMar>
          </w:tcPr>
          <w:p>
            <w:r>
              <w:rPr>
                <w:rFonts w:ascii="Arial" w:cs="Arial" w:eastAsia="Arial" w:hAnsi="Arial"/>
                <w:b w:val="false"/>
                <w:bCs w:val="false"/>
                <w:i w:val="false"/>
                <w:iCs w:val="false"/>
                <w:sz w:val="18"/>
                <w:szCs w:val="18"/>
              </w:rPr>
              <w:t xml:space="preserve">Open</w:t>
            </w:r>
          </w:p>
        </w:tc>
        <w:tc>
          <w:tcPr>
            <w:tcW w:type="dxa" w:w="4760"/>
            <w:tcMar>
              <w:top w:type="dxa" w:w="60"/>
              <w:left w:type="dxa" w:w="100"/>
              <w:bottom w:type="dxa" w:w="60"/>
              <w:right w:type="dxa" w:w="100"/>
            </w:tcMar>
          </w:tcPr>
          <w:p>
            <w:r>
              <w:rPr>
                <w:rFonts w:ascii="Arial" w:cs="Arial" w:eastAsia="Arial" w:hAnsi="Arial"/>
                <w:b w:val="false"/>
                <w:bCs w:val="false"/>
                <w:i w:val="false"/>
                <w:iCs w:val="false"/>
                <w:sz w:val="18"/>
                <w:szCs w:val="18"/>
              </w:rPr>
              <w:t xml:space="preserve">Fully open position at the normal cycle time of Paragraph 2.02.F</w:t>
            </w:r>
          </w:p>
        </w:tc>
      </w:tr>
      <w:tr>
        <w:trPr>
          <w:cantSplit/>
          <w:tblHeader w:val="false"/>
        </w:trPr>
        <w:tc>
          <w:tcPr>
            <w:tcW w:type="dxa" w:w="2400"/>
            <w:tcMar>
              <w:top w:type="dxa" w:w="60"/>
              <w:left w:type="dxa" w:w="100"/>
              <w:bottom w:type="dxa" w:w="60"/>
              <w:right w:type="dxa" w:w="100"/>
            </w:tcMar>
          </w:tcPr>
          <w:p>
            <w:r>
              <w:rPr>
                <w:rFonts w:ascii="Arial" w:cs="Arial" w:eastAsia="Arial" w:hAnsi="Arial"/>
                <w:b w:val="false"/>
                <w:bCs w:val="false"/>
                <w:i w:val="false"/>
                <w:iCs w:val="false"/>
                <w:sz w:val="18"/>
                <w:szCs w:val="18"/>
              </w:rPr>
              <w:t xml:space="preserve">Part open, closing</w:t>
            </w:r>
          </w:p>
        </w:tc>
        <w:tc>
          <w:tcPr>
            <w:tcW w:type="dxa" w:w="2200"/>
            <w:tcMar>
              <w:top w:type="dxa" w:w="60"/>
              <w:left w:type="dxa" w:w="100"/>
              <w:bottom w:type="dxa" w:w="60"/>
              <w:right w:type="dxa" w:w="100"/>
            </w:tcMar>
          </w:tcPr>
          <w:p>
            <w:r>
              <w:rPr>
                <w:rFonts w:ascii="Arial" w:cs="Arial" w:eastAsia="Arial" w:hAnsi="Arial"/>
                <w:b w:val="false"/>
                <w:bCs w:val="false"/>
                <w:i w:val="false"/>
                <w:iCs w:val="false"/>
                <w:sz w:val="18"/>
                <w:szCs w:val="18"/>
              </w:rPr>
              <w:t xml:space="preserve">Open</w:t>
            </w:r>
          </w:p>
        </w:tc>
        <w:tc>
          <w:tcPr>
            <w:tcW w:type="dxa" w:w="4760"/>
            <w:tcMar>
              <w:top w:type="dxa" w:w="60"/>
              <w:left w:type="dxa" w:w="100"/>
              <w:bottom w:type="dxa" w:w="60"/>
              <w:right w:type="dxa" w:w="100"/>
            </w:tcMar>
          </w:tcPr>
          <w:p>
            <w:r>
              <w:rPr>
                <w:rFonts w:ascii="Arial" w:cs="Arial" w:eastAsia="Arial" w:hAnsi="Arial"/>
                <w:b w:val="false"/>
                <w:bCs w:val="false"/>
                <w:i w:val="false"/>
                <w:iCs w:val="false"/>
                <w:sz w:val="18"/>
                <w:szCs w:val="18"/>
              </w:rPr>
              <w:t xml:space="preserve">Reverses immediately and opens fully</w:t>
            </w:r>
          </w:p>
        </w:tc>
      </w:tr>
      <w:tr>
        <w:trPr>
          <w:cantSplit/>
          <w:tblHeader w:val="false"/>
        </w:trPr>
        <w:tc>
          <w:tcPr>
            <w:tcW w:type="dxa" w:w="2400"/>
            <w:tcMar>
              <w:top w:type="dxa" w:w="60"/>
              <w:left w:type="dxa" w:w="100"/>
              <w:bottom w:type="dxa" w:w="60"/>
              <w:right w:type="dxa" w:w="100"/>
            </w:tcMar>
          </w:tcPr>
          <w:p>
            <w:r>
              <w:rPr>
                <w:rFonts w:ascii="Arial" w:cs="Arial" w:eastAsia="Arial" w:hAnsi="Arial"/>
                <w:b w:val="false"/>
                <w:bCs w:val="false"/>
                <w:i w:val="false"/>
                <w:iCs w:val="false"/>
                <w:sz w:val="18"/>
                <w:szCs w:val="18"/>
              </w:rPr>
              <w:t xml:space="preserve">Part closed, opening</w:t>
            </w:r>
          </w:p>
        </w:tc>
        <w:tc>
          <w:tcPr>
            <w:tcW w:type="dxa" w:w="2200"/>
            <w:tcMar>
              <w:top w:type="dxa" w:w="60"/>
              <w:left w:type="dxa" w:w="100"/>
              <w:bottom w:type="dxa" w:w="60"/>
              <w:right w:type="dxa" w:w="100"/>
            </w:tcMar>
          </w:tcPr>
          <w:p>
            <w:r>
              <w:rPr>
                <w:rFonts w:ascii="Arial" w:cs="Arial" w:eastAsia="Arial" w:hAnsi="Arial"/>
                <w:b w:val="false"/>
                <w:bCs w:val="false"/>
                <w:i w:val="false"/>
                <w:iCs w:val="false"/>
                <w:sz w:val="18"/>
                <w:szCs w:val="18"/>
              </w:rPr>
              <w:t xml:space="preserve">Emergency Fast Operate</w:t>
            </w:r>
          </w:p>
        </w:tc>
        <w:tc>
          <w:tcPr>
            <w:tcW w:type="dxa" w:w="4760"/>
            <w:tcMar>
              <w:top w:type="dxa" w:w="60"/>
              <w:left w:type="dxa" w:w="100"/>
              <w:bottom w:type="dxa" w:w="60"/>
              <w:right w:type="dxa" w:w="100"/>
            </w:tcMar>
          </w:tcPr>
          <w:p>
            <w:r>
              <w:rPr>
                <w:rFonts w:ascii="Arial" w:cs="Arial" w:eastAsia="Arial" w:hAnsi="Arial"/>
                <w:b w:val="false"/>
                <w:bCs w:val="false"/>
                <w:i w:val="false"/>
                <w:iCs w:val="false"/>
                <w:sz w:val="18"/>
                <w:szCs w:val="18"/>
              </w:rPr>
              <w:t xml:space="preserve">Reverses immediately to the closed position at the Emergency Fast Operate time of Paragraph 2.02.F</w:t>
            </w:r>
          </w:p>
        </w:tc>
      </w:tr>
    </w:tbl>
    <w:p>
      <w:pPr>
        <w:keepNext/>
        <w:spacing w:after="100" w:before="300"/>
        <w:ind w:left="360"/>
      </w:pPr>
      <w:r>
        <w:rPr>
          <w:rFonts w:ascii="Arial" w:cs="Arial" w:eastAsia="Arial" w:hAnsi="Arial"/>
          <w:b/>
          <w:bCs/>
          <w:i w:val="false"/>
          <w:iCs w:val="false"/>
          <w:sz w:val="20"/>
          <w:szCs w:val="20"/>
        </w:rPr>
        <w:t xml:space="preserve">Schedule 5 – Controller Functions and Options</w:t>
      </w:r>
    </w:p>
    <w:tbl>
      <w:tblPr>
        <w:tblW w:type="auto" w:w="100"/>
        <w:tblBorders>
          <w:top w:val="single" w:color="auto" w:sz="4"/>
          <w:left w:val="single" w:color="auto" w:sz="4"/>
          <w:bottom w:val="single" w:color="auto" w:sz="4"/>
          <w:right w:val="single" w:color="auto" w:sz="4"/>
          <w:insideH w:val="single" w:color="auto" w:sz="4"/>
          <w:insideV w:val="single" w:color="auto" w:sz="4"/>
        </w:tblBorders>
      </w:tblPr>
      <w:tblGrid>
        <w:gridCol w:w="3400"/>
        <w:gridCol w:w="5960"/>
      </w:tblGrid>
      <w:tr>
        <w:trPr>
          <w:cantSplit/>
          <w:tblHeader/>
        </w:trPr>
        <w:tc>
          <w:tcPr>
            <w:tcW w:type="dxa" w:w="3400"/>
            <w:shd w:fill="E8E8E8" w:val="clear"/>
            <w:tcMar>
              <w:top w:type="dxa" w:w="60"/>
              <w:left w:type="dxa" w:w="100"/>
              <w:bottom w:type="dxa" w:w="60"/>
              <w:right w:type="dxa" w:w="100"/>
            </w:tcMar>
          </w:tcPr>
          <w:p>
            <w:r>
              <w:rPr>
                <w:rFonts w:ascii="Arial" w:cs="Arial" w:eastAsia="Arial" w:hAnsi="Arial"/>
                <w:b/>
                <w:bCs/>
                <w:i w:val="false"/>
                <w:iCs w:val="false"/>
                <w:sz w:val="18"/>
                <w:szCs w:val="18"/>
              </w:rPr>
              <w:t xml:space="preserve">Item</w:t>
            </w:r>
          </w:p>
        </w:tc>
        <w:tc>
          <w:tcPr>
            <w:tcW w:type="dxa" w:w="5960"/>
            <w:shd w:fill="E8E8E8" w:val="clear"/>
            <w:tcMar>
              <w:top w:type="dxa" w:w="60"/>
              <w:left w:type="dxa" w:w="100"/>
              <w:bottom w:type="dxa" w:w="60"/>
              <w:right w:type="dxa" w:w="100"/>
            </w:tcMar>
          </w:tcPr>
          <w:p>
            <w:r>
              <w:rPr>
                <w:rFonts w:ascii="Arial" w:cs="Arial" w:eastAsia="Arial" w:hAnsi="Arial"/>
                <w:b/>
                <w:bCs/>
                <w:i w:val="false"/>
                <w:iCs w:val="false"/>
                <w:sz w:val="18"/>
                <w:szCs w:val="18"/>
              </w:rPr>
              <w:t xml:space="preserve">Provision</w:t>
            </w:r>
          </w:p>
        </w:tc>
      </w:tr>
      <w:tr>
        <w:trPr>
          <w:cantSplit/>
          <w:tblHeader w:val="false"/>
        </w:trPr>
        <w:tc>
          <w:tcPr>
            <w:tcW w:type="dxa" w:w="3400"/>
            <w:tcMar>
              <w:top w:type="dxa" w:w="60"/>
              <w:left w:type="dxa" w:w="100"/>
              <w:bottom w:type="dxa" w:w="60"/>
              <w:right w:type="dxa" w:w="100"/>
            </w:tcMar>
          </w:tcPr>
          <w:p>
            <w:r>
              <w:rPr>
                <w:rFonts w:ascii="Arial" w:cs="Arial" w:eastAsia="Arial" w:hAnsi="Arial"/>
                <w:b w:val="false"/>
                <w:bCs w:val="false"/>
                <w:i w:val="false"/>
                <w:iCs w:val="false"/>
                <w:sz w:val="18"/>
                <w:szCs w:val="18"/>
              </w:rPr>
              <w:t xml:space="preserve">Control system</w:t>
            </w:r>
          </w:p>
        </w:tc>
        <w:tc>
          <w:tcPr>
            <w:tcW w:type="dxa" w:w="5960"/>
            <w:tcMar>
              <w:top w:type="dxa" w:w="60"/>
              <w:left w:type="dxa" w:w="100"/>
              <w:bottom w:type="dxa" w:w="60"/>
              <w:right w:type="dxa" w:w="100"/>
            </w:tcMar>
          </w:tcPr>
          <w:p>
            <w:r>
              <w:rPr>
                <w:rFonts w:ascii="Arial" w:cs="Arial" w:eastAsia="Arial" w:hAnsi="Arial"/>
                <w:b w:val="false"/>
                <w:bCs w:val="false"/>
                <w:i w:val="false"/>
                <w:iCs w:val="false"/>
                <w:sz w:val="18"/>
                <w:szCs w:val="18"/>
              </w:rPr>
              <w:t xml:space="preserve">PLC, relays and timers; listing and short circuit current rating per Paragraph 2.06.B</w:t>
            </w:r>
          </w:p>
        </w:tc>
      </w:tr>
      <w:tr>
        <w:trPr>
          <w:cantSplit/>
          <w:tblHeader w:val="false"/>
        </w:trPr>
        <w:tc>
          <w:tcPr>
            <w:tcW w:type="dxa" w:w="3400"/>
            <w:tcMar>
              <w:top w:type="dxa" w:w="60"/>
              <w:left w:type="dxa" w:w="100"/>
              <w:bottom w:type="dxa" w:w="60"/>
              <w:right w:type="dxa" w:w="100"/>
            </w:tcMar>
          </w:tcPr>
          <w:p>
            <w:r>
              <w:rPr>
                <w:rFonts w:ascii="Arial" w:cs="Arial" w:eastAsia="Arial" w:hAnsi="Arial"/>
                <w:b w:val="false"/>
                <w:bCs w:val="false"/>
                <w:i w:val="false"/>
                <w:iCs w:val="false"/>
                <w:sz w:val="18"/>
                <w:szCs w:val="18"/>
              </w:rPr>
              <w:t xml:space="preserve">Operation</w:t>
            </w:r>
          </w:p>
        </w:tc>
        <w:tc>
          <w:tcPr>
            <w:tcW w:type="dxa" w:w="5960"/>
            <w:tcMar>
              <w:top w:type="dxa" w:w="60"/>
              <w:left w:type="dxa" w:w="100"/>
              <w:bottom w:type="dxa" w:w="60"/>
              <w:right w:type="dxa" w:w="100"/>
            </w:tcMar>
          </w:tcPr>
          <w:p>
            <w:r>
              <w:rPr>
                <w:rFonts w:ascii="Arial" w:cs="Arial" w:eastAsia="Arial" w:hAnsi="Arial"/>
                <w:b w:val="false"/>
                <w:bCs w:val="false"/>
                <w:i w:val="false"/>
                <w:iCs w:val="false"/>
                <w:sz w:val="18"/>
                <w:szCs w:val="18"/>
              </w:rPr>
              <w:t xml:space="preserve">Momentary switch, raise or lower</w:t>
            </w:r>
          </w:p>
        </w:tc>
      </w:tr>
      <w:tr>
        <w:trPr>
          <w:cantSplit/>
          <w:tblHeader w:val="false"/>
        </w:trPr>
        <w:tc>
          <w:tcPr>
            <w:tcW w:type="dxa" w:w="3400"/>
            <w:tcMar>
              <w:top w:type="dxa" w:w="60"/>
              <w:left w:type="dxa" w:w="100"/>
              <w:bottom w:type="dxa" w:w="60"/>
              <w:right w:type="dxa" w:w="100"/>
            </w:tcMar>
          </w:tcPr>
          <w:p>
            <w:r>
              <w:rPr>
                <w:rFonts w:ascii="Arial" w:cs="Arial" w:eastAsia="Arial" w:hAnsi="Arial"/>
                <w:b w:val="false"/>
                <w:bCs w:val="false"/>
                <w:i w:val="false"/>
                <w:iCs w:val="false"/>
                <w:sz w:val="18"/>
                <w:szCs w:val="18"/>
              </w:rPr>
              <w:t xml:space="preserve">Position holding</w:t>
            </w:r>
          </w:p>
        </w:tc>
        <w:tc>
          <w:tcPr>
            <w:tcW w:type="dxa" w:w="5960"/>
            <w:tcMar>
              <w:top w:type="dxa" w:w="60"/>
              <w:left w:type="dxa" w:w="100"/>
              <w:bottom w:type="dxa" w:w="60"/>
              <w:right w:type="dxa" w:w="100"/>
            </w:tcMar>
          </w:tcPr>
          <w:p>
            <w:r>
              <w:rPr>
                <w:rFonts w:ascii="Arial" w:cs="Arial" w:eastAsia="Arial" w:hAnsi="Arial"/>
                <w:b w:val="false"/>
                <w:bCs w:val="false"/>
                <w:i w:val="false"/>
                <w:iCs w:val="false"/>
                <w:sz w:val="18"/>
                <w:szCs w:val="18"/>
              </w:rPr>
              <w:t xml:space="preserve">Holds the selected position on loss of command</w:t>
            </w:r>
          </w:p>
        </w:tc>
      </w:tr>
      <w:tr>
        <w:trPr>
          <w:cantSplit/>
          <w:tblHeader w:val="false"/>
        </w:trPr>
        <w:tc>
          <w:tcPr>
            <w:tcW w:type="dxa" w:w="3400"/>
            <w:tcMar>
              <w:top w:type="dxa" w:w="60"/>
              <w:left w:type="dxa" w:w="100"/>
              <w:bottom w:type="dxa" w:w="60"/>
              <w:right w:type="dxa" w:w="100"/>
            </w:tcMar>
          </w:tcPr>
          <w:p>
            <w:r>
              <w:rPr>
                <w:rFonts w:ascii="Arial" w:cs="Arial" w:eastAsia="Arial" w:hAnsi="Arial"/>
                <w:b w:val="false"/>
                <w:bCs w:val="false"/>
                <w:i w:val="false"/>
                <w:iCs w:val="false"/>
                <w:sz w:val="18"/>
                <w:szCs w:val="18"/>
              </w:rPr>
              <w:t xml:space="preserve">Status indication</w:t>
            </w:r>
          </w:p>
        </w:tc>
        <w:tc>
          <w:tcPr>
            <w:tcW w:type="dxa" w:w="5960"/>
            <w:tcMar>
              <w:top w:type="dxa" w:w="60"/>
              <w:left w:type="dxa" w:w="100"/>
              <w:bottom w:type="dxa" w:w="60"/>
              <w:right w:type="dxa" w:w="100"/>
            </w:tcMar>
          </w:tcPr>
          <w:p>
            <w:r>
              <w:rPr>
                <w:rFonts w:ascii="Arial" w:cs="Arial" w:eastAsia="Arial" w:hAnsi="Arial"/>
                <w:b w:val="false"/>
                <w:bCs w:val="false"/>
                <w:i w:val="false"/>
                <w:iCs w:val="false"/>
                <w:sz w:val="18"/>
                <w:szCs w:val="18"/>
              </w:rPr>
              <w:t xml:space="preserve">Indicator lights for barrier position</w:t>
            </w:r>
          </w:p>
        </w:tc>
      </w:tr>
      <w:tr>
        <w:trPr>
          <w:cantSplit/>
          <w:tblHeader w:val="false"/>
        </w:trPr>
        <w:tc>
          <w:tcPr>
            <w:tcW w:type="dxa" w:w="3400"/>
            <w:tcMar>
              <w:top w:type="dxa" w:w="60"/>
              <w:left w:type="dxa" w:w="100"/>
              <w:bottom w:type="dxa" w:w="60"/>
              <w:right w:type="dxa" w:w="100"/>
            </w:tcMar>
          </w:tcPr>
          <w:p>
            <w:r>
              <w:rPr>
                <w:rFonts w:ascii="Arial" w:cs="Arial" w:eastAsia="Arial" w:hAnsi="Arial"/>
                <w:b w:val="false"/>
                <w:bCs w:val="false"/>
                <w:i w:val="false"/>
                <w:iCs w:val="false"/>
                <w:sz w:val="18"/>
                <w:szCs w:val="18"/>
              </w:rPr>
              <w:t xml:space="preserve">Audible and visual alarm</w:t>
            </w:r>
          </w:p>
        </w:tc>
        <w:tc>
          <w:tcPr>
            <w:tcW w:type="dxa" w:w="5960"/>
            <w:tcMar>
              <w:top w:type="dxa" w:w="60"/>
              <w:left w:type="dxa" w:w="100"/>
              <w:bottom w:type="dxa" w:w="60"/>
              <w:right w:type="dxa" w:w="100"/>
            </w:tcMar>
          </w:tcPr>
          <w:p>
            <w:r>
              <w:rPr>
                <w:rFonts w:ascii="Arial" w:cs="Arial" w:eastAsia="Arial" w:hAnsi="Arial"/>
                <w:b w:val="false"/>
                <w:bCs w:val="false"/>
                <w:i w:val="false"/>
                <w:iCs w:val="false"/>
                <w:sz w:val="18"/>
                <w:szCs w:val="18"/>
              </w:rPr>
              <w:t xml:space="preserve">Sound and light on emergency operation until keyed reset</w:t>
            </w:r>
          </w:p>
        </w:tc>
      </w:tr>
      <w:tr>
        <w:trPr>
          <w:cantSplit/>
          <w:tblHeader w:val="false"/>
        </w:trPr>
        <w:tc>
          <w:tcPr>
            <w:tcW w:type="dxa" w:w="3400"/>
            <w:tcMar>
              <w:top w:type="dxa" w:w="60"/>
              <w:left w:type="dxa" w:w="100"/>
              <w:bottom w:type="dxa" w:w="60"/>
              <w:right w:type="dxa" w:w="100"/>
            </w:tcMar>
          </w:tcPr>
          <w:p>
            <w:r>
              <w:rPr>
                <w:rFonts w:ascii="Arial" w:cs="Arial" w:eastAsia="Arial" w:hAnsi="Arial"/>
                <w:b w:val="false"/>
                <w:bCs w:val="false"/>
                <w:i w:val="false"/>
                <w:iCs w:val="false"/>
                <w:sz w:val="18"/>
                <w:szCs w:val="18"/>
              </w:rPr>
              <w:t xml:space="preserve">Run up timer</w:t>
            </w:r>
          </w:p>
        </w:tc>
        <w:tc>
          <w:tcPr>
            <w:tcW w:type="dxa" w:w="5960"/>
            <w:tcMar>
              <w:top w:type="dxa" w:w="60"/>
              <w:left w:type="dxa" w:w="100"/>
              <w:bottom w:type="dxa" w:w="60"/>
              <w:right w:type="dxa" w:w="100"/>
            </w:tcMar>
          </w:tcPr>
          <w:p>
            <w:r>
              <w:rPr>
                <w:rFonts w:ascii="Arial" w:cs="Arial" w:eastAsia="Arial" w:hAnsi="Arial"/>
                <w:b w:val="false"/>
                <w:bCs w:val="false"/>
                <w:i w:val="false"/>
                <w:iCs w:val="false"/>
                <w:sz w:val="18"/>
                <w:szCs w:val="18"/>
              </w:rPr>
              <w:t xml:space="preserve">Adjustable, per manufacturer data</w:t>
            </w:r>
          </w:p>
        </w:tc>
      </w:tr>
      <w:tr>
        <w:trPr>
          <w:cantSplit/>
          <w:tblHeader w:val="false"/>
        </w:trPr>
        <w:tc>
          <w:tcPr>
            <w:tcW w:type="dxa" w:w="3400"/>
            <w:tcMar>
              <w:top w:type="dxa" w:w="60"/>
              <w:left w:type="dxa" w:w="100"/>
              <w:bottom w:type="dxa" w:w="60"/>
              <w:right w:type="dxa" w:w="100"/>
            </w:tcMar>
          </w:tcPr>
          <w:p>
            <w:r>
              <w:rPr>
                <w:rFonts w:ascii="Arial" w:cs="Arial" w:eastAsia="Arial" w:hAnsi="Arial"/>
                <w:b w:val="false"/>
                <w:bCs w:val="false"/>
                <w:i w:val="false"/>
                <w:iCs w:val="false"/>
                <w:sz w:val="18"/>
                <w:szCs w:val="18"/>
              </w:rPr>
              <w:t xml:space="preserve">Monitoring</w:t>
            </w:r>
          </w:p>
        </w:tc>
        <w:tc>
          <w:tcPr>
            <w:tcW w:type="dxa" w:w="5960"/>
            <w:tcMar>
              <w:top w:type="dxa" w:w="60"/>
              <w:left w:type="dxa" w:w="100"/>
              <w:bottom w:type="dxa" w:w="60"/>
              <w:right w:type="dxa" w:w="100"/>
            </w:tcMar>
          </w:tcPr>
          <w:p>
            <w:r>
              <w:rPr>
                <w:rFonts w:ascii="Arial" w:cs="Arial" w:eastAsia="Arial" w:hAnsi="Arial"/>
                <w:b w:val="false"/>
                <w:bCs w:val="false"/>
                <w:i w:val="false"/>
                <w:iCs w:val="false"/>
                <w:sz w:val="18"/>
                <w:szCs w:val="18"/>
              </w:rPr>
              <w:t xml:space="preserve">Real time, from the control panel</w:t>
            </w:r>
          </w:p>
        </w:tc>
      </w:tr>
      <w:tr>
        <w:trPr>
          <w:cantSplit/>
          <w:tblHeader w:val="false"/>
        </w:trPr>
        <w:tc>
          <w:tcPr>
            <w:tcW w:type="dxa" w:w="3400"/>
            <w:tcMar>
              <w:top w:type="dxa" w:w="60"/>
              <w:left w:type="dxa" w:w="100"/>
              <w:bottom w:type="dxa" w:w="60"/>
              <w:right w:type="dxa" w:w="100"/>
            </w:tcMar>
          </w:tcPr>
          <w:p>
            <w:r>
              <w:rPr>
                <w:rFonts w:ascii="Arial" w:cs="Arial" w:eastAsia="Arial" w:hAnsi="Arial"/>
                <w:b w:val="false"/>
                <w:bCs w:val="false"/>
                <w:i w:val="false"/>
                <w:iCs w:val="false"/>
                <w:sz w:val="18"/>
                <w:szCs w:val="18"/>
              </w:rPr>
              <w:t xml:space="preserve">Enclosure</w:t>
            </w:r>
          </w:p>
        </w:tc>
        <w:tc>
          <w:tcPr>
            <w:tcW w:type="dxa" w:w="5960"/>
            <w:tcMar>
              <w:top w:type="dxa" w:w="60"/>
              <w:left w:type="dxa" w:w="100"/>
              <w:bottom w:type="dxa" w:w="60"/>
              <w:right w:type="dxa" w:w="100"/>
            </w:tcMar>
          </w:tcPr>
          <w:p>
            <w:r>
              <w:rPr>
                <w:rFonts w:ascii="Arial" w:cs="Arial" w:eastAsia="Arial" w:hAnsi="Arial"/>
                <w:b w:val="false"/>
                <w:bCs w:val="false"/>
                <w:i w:val="false"/>
                <w:iCs w:val="false"/>
                <w:sz w:val="18"/>
                <w:szCs w:val="18"/>
              </w:rPr>
              <w:t xml:space="preserve">Delivered with the barrier; NEMA 250 type per Paragraph 2.06.A</w:t>
            </w:r>
          </w:p>
        </w:tc>
      </w:tr>
      <w:tr>
        <w:trPr>
          <w:cantSplit/>
          <w:tblHeader w:val="false"/>
        </w:trPr>
        <w:tc>
          <w:tcPr>
            <w:tcW w:type="dxa" w:w="3400"/>
            <w:tcMar>
              <w:top w:type="dxa" w:w="60"/>
              <w:left w:type="dxa" w:w="100"/>
              <w:bottom w:type="dxa" w:w="60"/>
              <w:right w:type="dxa" w:w="100"/>
            </w:tcMar>
          </w:tcPr>
          <w:p>
            <w:r>
              <w:rPr>
                <w:rFonts w:ascii="Arial" w:cs="Arial" w:eastAsia="Arial" w:hAnsi="Arial"/>
                <w:b w:val="false"/>
                <w:bCs w:val="false"/>
                <w:i w:val="false"/>
                <w:iCs w:val="false"/>
                <w:sz w:val="18"/>
                <w:szCs w:val="18"/>
              </w:rPr>
              <w:t xml:space="preserve">Safety devices</w:t>
            </w:r>
          </w:p>
        </w:tc>
        <w:tc>
          <w:tcPr>
            <w:tcW w:type="dxa" w:w="5960"/>
            <w:tcMar>
              <w:top w:type="dxa" w:w="60"/>
              <w:left w:type="dxa" w:w="100"/>
              <w:bottom w:type="dxa" w:w="60"/>
              <w:right w:type="dxa" w:w="100"/>
            </w:tcMar>
          </w:tcPr>
          <w:p>
            <w:r>
              <w:rPr>
                <w:rFonts w:ascii="Arial" w:cs="Arial" w:eastAsia="Arial" w:hAnsi="Arial"/>
                <w:b w:val="false"/>
                <w:bCs w:val="false"/>
                <w:i w:val="false"/>
                <w:iCs w:val="false"/>
                <w:sz w:val="18"/>
                <w:szCs w:val="18"/>
              </w:rPr>
              <w:t xml:space="preserve">Loops, warning lights and alarms per Article 2.07</w:t>
            </w:r>
          </w:p>
        </w:tc>
      </w:tr>
      <w:tr>
        <w:trPr>
          <w:cantSplit/>
          <w:tblHeader w:val="false"/>
        </w:trPr>
        <w:tc>
          <w:tcPr>
            <w:tcW w:type="dxa" w:w="3400"/>
            <w:tcMar>
              <w:top w:type="dxa" w:w="60"/>
              <w:left w:type="dxa" w:w="100"/>
              <w:bottom w:type="dxa" w:w="60"/>
              <w:right w:type="dxa" w:w="100"/>
            </w:tcMar>
          </w:tcPr>
          <w:p>
            <w:r>
              <w:rPr>
                <w:rFonts w:ascii="Arial" w:cs="Arial" w:eastAsia="Arial" w:hAnsi="Arial"/>
                <w:b w:val="false"/>
                <w:bCs w:val="false"/>
                <w:i w:val="false"/>
                <w:iCs w:val="false"/>
                <w:sz w:val="18"/>
                <w:szCs w:val="18"/>
              </w:rPr>
              <w:t xml:space="preserve">[Master control panel]</w:t>
            </w:r>
          </w:p>
        </w:tc>
        <w:tc>
          <w:tcPr>
            <w:tcW w:type="dxa" w:w="5960"/>
            <w:tcMar>
              <w:top w:type="dxa" w:w="60"/>
              <w:left w:type="dxa" w:w="100"/>
              <w:bottom w:type="dxa" w:w="60"/>
              <w:right w:type="dxa" w:w="100"/>
            </w:tcMar>
          </w:tcPr>
          <w:p>
            <w:r>
              <w:rPr>
                <w:rFonts w:ascii="Arial" w:cs="Arial" w:eastAsia="Arial" w:hAnsi="Arial"/>
                <w:b w:val="false"/>
                <w:bCs w:val="false"/>
                <w:i w:val="false"/>
                <w:iCs w:val="false"/>
                <w:sz w:val="18"/>
                <w:szCs w:val="18"/>
              </w:rPr>
              <w:t xml:space="preserve">Centralized control of one or more barriers at an entry point</w:t>
            </w:r>
          </w:p>
        </w:tc>
      </w:tr>
      <w:tr>
        <w:trPr>
          <w:cantSplit/>
          <w:tblHeader w:val="false"/>
        </w:trPr>
        <w:tc>
          <w:tcPr>
            <w:tcW w:type="dxa" w:w="3400"/>
            <w:tcMar>
              <w:top w:type="dxa" w:w="60"/>
              <w:left w:type="dxa" w:w="100"/>
              <w:bottom w:type="dxa" w:w="60"/>
              <w:right w:type="dxa" w:w="100"/>
            </w:tcMar>
          </w:tcPr>
          <w:p>
            <w:r>
              <w:rPr>
                <w:rFonts w:ascii="Arial" w:cs="Arial" w:eastAsia="Arial" w:hAnsi="Arial"/>
                <w:b w:val="false"/>
                <w:bCs w:val="false"/>
                <w:i w:val="false"/>
                <w:iCs w:val="false"/>
                <w:sz w:val="18"/>
                <w:szCs w:val="18"/>
              </w:rPr>
              <w:t xml:space="preserve">[Remote control panel]</w:t>
            </w:r>
          </w:p>
        </w:tc>
        <w:tc>
          <w:tcPr>
            <w:tcW w:type="dxa" w:w="5960"/>
            <w:tcMar>
              <w:top w:type="dxa" w:w="60"/>
              <w:left w:type="dxa" w:w="100"/>
              <w:bottom w:type="dxa" w:w="60"/>
              <w:right w:type="dxa" w:w="100"/>
            </w:tcMar>
          </w:tcPr>
          <w:p>
            <w:r>
              <w:rPr>
                <w:rFonts w:ascii="Arial" w:cs="Arial" w:eastAsia="Arial" w:hAnsi="Arial"/>
                <w:b w:val="false"/>
                <w:bCs w:val="false"/>
                <w:i w:val="false"/>
                <w:iCs w:val="false"/>
                <w:sz w:val="18"/>
                <w:szCs w:val="18"/>
              </w:rPr>
              <w:t xml:space="preserve">Operation from a guard position away from the lane</w:t>
            </w:r>
          </w:p>
        </w:tc>
      </w:tr>
      <w:tr>
        <w:trPr>
          <w:cantSplit/>
          <w:tblHeader w:val="false"/>
        </w:trPr>
        <w:tc>
          <w:tcPr>
            <w:tcW w:type="dxa" w:w="3400"/>
            <w:tcMar>
              <w:top w:type="dxa" w:w="60"/>
              <w:left w:type="dxa" w:w="100"/>
              <w:bottom w:type="dxa" w:w="60"/>
              <w:right w:type="dxa" w:w="100"/>
            </w:tcMar>
          </w:tcPr>
          <w:p>
            <w:r>
              <w:rPr>
                <w:rFonts w:ascii="Arial" w:cs="Arial" w:eastAsia="Arial" w:hAnsi="Arial"/>
                <w:b w:val="false"/>
                <w:bCs w:val="false"/>
                <w:i w:val="false"/>
                <w:iCs w:val="false"/>
                <w:sz w:val="18"/>
                <w:szCs w:val="18"/>
              </w:rPr>
              <w:t xml:space="preserve">[Battery backup]</w:t>
            </w:r>
          </w:p>
        </w:tc>
        <w:tc>
          <w:tcPr>
            <w:tcW w:type="dxa" w:w="5960"/>
            <w:tcMar>
              <w:top w:type="dxa" w:w="60"/>
              <w:left w:type="dxa" w:w="100"/>
              <w:bottom w:type="dxa" w:w="60"/>
              <w:right w:type="dxa" w:w="100"/>
            </w:tcMar>
          </w:tcPr>
          <w:p>
            <w:r>
              <w:rPr>
                <w:rFonts w:ascii="Arial" w:cs="Arial" w:eastAsia="Arial" w:hAnsi="Arial"/>
                <w:b w:val="false"/>
                <w:bCs w:val="false"/>
                <w:i w:val="false"/>
                <w:iCs w:val="false"/>
                <w:sz w:val="18"/>
                <w:szCs w:val="18"/>
              </w:rPr>
              <w:t xml:space="preserve">Keeps the barrier operable through a power outage; capacity per manufacturer data</w:t>
            </w:r>
          </w:p>
        </w:tc>
      </w:tr>
      <w:tr>
        <w:trPr>
          <w:cantSplit/>
          <w:tblHeader w:val="false"/>
        </w:trPr>
        <w:tc>
          <w:tcPr>
            <w:tcW w:type="dxa" w:w="3400"/>
            <w:tcMar>
              <w:top w:type="dxa" w:w="60"/>
              <w:left w:type="dxa" w:w="100"/>
              <w:bottom w:type="dxa" w:w="60"/>
              <w:right w:type="dxa" w:w="100"/>
            </w:tcMar>
          </w:tcPr>
          <w:p>
            <w:r>
              <w:rPr>
                <w:rFonts w:ascii="Arial" w:cs="Arial" w:eastAsia="Arial" w:hAnsi="Arial"/>
                <w:b w:val="false"/>
                <w:bCs w:val="false"/>
                <w:i w:val="false"/>
                <w:iCs w:val="false"/>
                <w:sz w:val="18"/>
                <w:szCs w:val="18"/>
              </w:rPr>
              <w:t xml:space="preserve">[Slab heater]</w:t>
            </w:r>
          </w:p>
        </w:tc>
        <w:tc>
          <w:tcPr>
            <w:tcW w:type="dxa" w:w="5960"/>
            <w:tcMar>
              <w:top w:type="dxa" w:w="60"/>
              <w:left w:type="dxa" w:w="100"/>
              <w:bottom w:type="dxa" w:w="60"/>
              <w:right w:type="dxa" w:w="100"/>
            </w:tcMar>
          </w:tcPr>
          <w:p>
            <w:r>
              <w:rPr>
                <w:rFonts w:ascii="Arial" w:cs="Arial" w:eastAsia="Arial" w:hAnsi="Arial"/>
                <w:b w:val="false"/>
                <w:bCs w:val="false"/>
                <w:i w:val="false"/>
                <w:iCs w:val="false"/>
                <w:sz w:val="18"/>
                <w:szCs w:val="18"/>
              </w:rPr>
              <w:t xml:space="preserve">Maintains operation in extreme cold, sized to the slab</w:t>
            </w:r>
          </w:p>
        </w:tc>
      </w:tr>
      <w:tr>
        <w:trPr>
          <w:cantSplit/>
          <w:tblHeader w:val="false"/>
        </w:trPr>
        <w:tc>
          <w:tcPr>
            <w:tcW w:type="dxa" w:w="3400"/>
            <w:tcMar>
              <w:top w:type="dxa" w:w="60"/>
              <w:left w:type="dxa" w:w="100"/>
              <w:bottom w:type="dxa" w:w="60"/>
              <w:right w:type="dxa" w:w="100"/>
            </w:tcMar>
          </w:tcPr>
          <w:p>
            <w:r>
              <w:rPr>
                <w:rFonts w:ascii="Arial" w:cs="Arial" w:eastAsia="Arial" w:hAnsi="Arial"/>
                <w:b w:val="false"/>
                <w:bCs w:val="false"/>
                <w:i w:val="false"/>
                <w:iCs w:val="false"/>
                <w:sz w:val="18"/>
                <w:szCs w:val="18"/>
              </w:rPr>
              <w:t xml:space="preserve">[Traffic signals]</w:t>
            </w:r>
          </w:p>
        </w:tc>
        <w:tc>
          <w:tcPr>
            <w:tcW w:type="dxa" w:w="5960"/>
            <w:tcMar>
              <w:top w:type="dxa" w:w="60"/>
              <w:left w:type="dxa" w:w="100"/>
              <w:bottom w:type="dxa" w:w="60"/>
              <w:right w:type="dxa" w:w="100"/>
            </w:tcMar>
          </w:tcPr>
          <w:p>
            <w:r>
              <w:rPr>
                <w:rFonts w:ascii="Arial" w:cs="Arial" w:eastAsia="Arial" w:hAnsi="Arial"/>
                <w:b w:val="false"/>
                <w:bCs w:val="false"/>
                <w:i w:val="false"/>
                <w:iCs w:val="false"/>
                <w:sz w:val="18"/>
                <w:szCs w:val="18"/>
              </w:rPr>
              <w:t xml:space="preserve">Amber, or green and red, driven from barrier position</w:t>
            </w:r>
          </w:p>
        </w:tc>
      </w:tr>
      <w:tr>
        <w:trPr>
          <w:cantSplit/>
          <w:tblHeader w:val="false"/>
        </w:trPr>
        <w:tc>
          <w:tcPr>
            <w:tcW w:type="dxa" w:w="3400"/>
            <w:tcMar>
              <w:top w:type="dxa" w:w="60"/>
              <w:left w:type="dxa" w:w="100"/>
              <w:bottom w:type="dxa" w:w="60"/>
              <w:right w:type="dxa" w:w="100"/>
            </w:tcMar>
          </w:tcPr>
          <w:p>
            <w:r>
              <w:rPr>
                <w:rFonts w:ascii="Arial" w:cs="Arial" w:eastAsia="Arial" w:hAnsi="Arial"/>
                <w:b w:val="false"/>
                <w:bCs w:val="false"/>
                <w:i w:val="false"/>
                <w:iCs w:val="false"/>
                <w:sz w:val="18"/>
                <w:szCs w:val="18"/>
              </w:rPr>
              <w:t xml:space="preserve">[Drop arm integration]</w:t>
            </w:r>
          </w:p>
        </w:tc>
        <w:tc>
          <w:tcPr>
            <w:tcW w:type="dxa" w:w="5960"/>
            <w:tcMar>
              <w:top w:type="dxa" w:w="60"/>
              <w:left w:type="dxa" w:w="100"/>
              <w:bottom w:type="dxa" w:w="60"/>
              <w:right w:type="dxa" w:w="100"/>
            </w:tcMar>
          </w:tcPr>
          <w:p>
            <w:r>
              <w:rPr>
                <w:rFonts w:ascii="Arial" w:cs="Arial" w:eastAsia="Arial" w:hAnsi="Arial"/>
                <w:b w:val="false"/>
                <w:bCs w:val="false"/>
                <w:i w:val="false"/>
                <w:iCs w:val="false"/>
                <w:sz w:val="18"/>
                <w:szCs w:val="18"/>
              </w:rPr>
              <w:t xml:space="preserve">Pairs the wedge with a manufacturer drop arm barrier or security devices by others</w:t>
            </w:r>
          </w:p>
        </w:tc>
      </w:tr>
    </w:tbl>
    <w:p>
      <w:r>
        <w:rPr>
          <w:rFonts w:ascii="Arial" w:cs="Arial" w:eastAsia="Arial" w:hAnsi="Arial"/>
          <w:b w:val="false"/>
          <w:bCs w:val="false"/>
          <w:i w:val="false"/>
          <w:iCs w:val="false"/>
          <w:sz w:val="20"/>
          <w:szCs w:val="20"/>
        </w:rPr>
        <w:t xml:space="preserve"/>
      </w:r>
    </w:p>
    <w:p>
      <w:pPr>
        <w:spacing w:after="120"/>
        <w:jc w:val="center"/>
      </w:pPr>
      <w:r>
        <w:rPr>
          <w:rFonts w:ascii="Arial" w:cs="Arial" w:eastAsia="Arial" w:hAnsi="Arial"/>
          <w:b/>
          <w:bCs/>
          <w:i w:val="false"/>
          <w:iCs w:val="false"/>
          <w:sz w:val="20"/>
          <w:szCs w:val="20"/>
        </w:rPr>
        <w:t xml:space="preserve">END OF SECTION 34 75 13.13</w:t>
      </w:r>
    </w:p>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BSPFooter"/>
      <w:jc w:val="center"/>
    </w:pPr>
    <w:r>
      <w:rPr>
        <w:rFonts w:ascii="Arial" w:cs="Arial" w:eastAsia="Arial" w:hAnsi="Arial"/>
        <w:sz w:val="16"/>
        <w:szCs w:val="16"/>
      </w:rPr>
      <w:t xml:space="preserve">34 75 13.13 – page </w:t>
    </w:r>
    <w:r>
      <w:rPr>
        <w:rFonts w:ascii="Arial" w:cs="Arial" w:eastAsia="Arial" w:hAnsi="Arial"/>
        <w:sz w:val="16"/>
        <w:szCs w:val="16"/>
      </w:rPr>
      <w:fldChar w:fldCharType="begin"/>
      <w:instrText xml:space="preserve">PAGE</w:instrText>
      <w:fldChar w:fldCharType="separate"/>
      <w:fldChar w:fldCharType="end"/>
    </w:r>
    <w:r>
      <w:rPr>
        <w:rFonts w:ascii="Arial" w:cs="Arial" w:eastAsia="Arial" w:hAnsi="Arial"/>
        <w:sz w:val="16"/>
        <w:szCs w:val="16"/>
      </w:rPr>
      <w:t xml:space="preserve"> of </w:t>
    </w:r>
    <w:r>
      <w:rPr>
        <w:rFonts w:ascii="Arial" w:cs="Arial" w:eastAsia="Arial" w:hAnsi="Arial"/>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000000" w:sz="6" w:space="4"/>
      </w:pBdr>
      <w:tabs>
        <w:tab w:val="right" w:pos="9360"/>
      </w:tabs>
      <w:spacing w:after="60"/>
    </w:pPr>
    <w:r>
      <w:rPr>
        <w:rFonts w:ascii="Arial" w:cs="Arial" w:eastAsia="Arial" w:hAnsi="Arial"/>
        <w:b/>
        <w:bCs/>
        <w:i w:val="false"/>
        <w:iCs w:val="false"/>
        <w:sz w:val="16"/>
        <w:szCs w:val="16"/>
      </w:rPr>
      <w:t xml:space="preserve">CRASH RATED SHALLOW WEDGE BARRIERS	SECTION 34 75 13.13 · REV 2 · OCTOBER 2026</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BSPFooter">
    <w:name w:val="BSP Footer"/>
    <w:basedOn w:val="Normal"/>
    <w:rPr>
      <w:rFonts w:ascii="Arial" w:cs="Arial" w:eastAsia="Arial" w:hAnsi="Arial"/>
      <w:sz w:val="16"/>
      <w:szCs w:val="16"/>
    </w:rPr>
  </w:style>
  <w:style w:type="paragraph" w:styleId="SpecifierNote">
    <w:name w:val="SpecifierNote"/>
    <w:basedOn w:val="Normal"/>
    <w:next w:val="Normal"/>
    <w:qFormat/>
    <w:pPr>
      <w:pBdr>
        <w:top w:val="single" w:color="1F5C99" w:sz="4" w:space="4"/>
        <w:bottom w:val="single" w:color="1F5C99" w:sz="4" w:space="4"/>
        <w:left w:val="single" w:color="1F5C99" w:sz="4" w:space="4"/>
        <w:right w:val="single" w:color="1F5C99" w:sz="4" w:space="4"/>
      </w:pBdr>
      <w:shd w:fill="EEF3FA" w:val="clear"/>
      <w:spacing w:after="140" w:before="140"/>
      <w:ind w:left="360" w:right="360"/>
    </w:pPr>
    <w:rPr>
      <w:rFonts w:ascii="Arial" w:cs="Arial" w:eastAsia="Arial" w:hAnsi="Arial"/>
      <w:i/>
      <w:iCs/>
      <w:color w:val="1F5C99"/>
      <w:sz w:val="18"/>
      <w:szCs w:val="18"/>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Section 34 75 13.13 · Crash Rated Shallow Wedge Barriers · Rev 2</dc:title>
  <dc:creator>Black Security Products, LLC</dc:creator>
  <dc:description>CSI 3 part guide specification, Rev 2, October 2026</dc:description>
  <cp:lastModifiedBy>Black Security Products, LLC</cp:lastModifiedBy>
  <cp:revision>1</cp:revision>
  <dcterms:created xsi:type="dcterms:W3CDTF">2026-10-19T21:28:27.127Z</dcterms:created>
  <dcterms:modified xsi:type="dcterms:W3CDTF">2026-10-19T21:28:27.127Z</dcterms:modified>
</cp:coreProperties>
</file>

<file path=docProps/custom.xml><?xml version="1.0" encoding="utf-8"?>
<Properties xmlns="http://schemas.openxmlformats.org/officeDocument/2006/custom-properties" xmlns:vt="http://schemas.openxmlformats.org/officeDocument/2006/docPropsVTypes"/>
</file>